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6496" w:rsidRDefault="00C46496" w:rsidP="00C46496">
      <w:pPr>
        <w:pageBreakBefore/>
        <w:tabs>
          <w:tab w:val="left" w:pos="1482"/>
        </w:tabs>
        <w:spacing w:beforeLines="100" w:before="312" w:afterLines="100" w:after="312" w:line="360" w:lineRule="auto"/>
        <w:jc w:val="center"/>
        <w:outlineLvl w:val="0"/>
        <w:rPr>
          <w:rFonts w:ascii="Arial" w:eastAsia="黑体" w:hAnsi="Arial"/>
          <w:b/>
          <w:bCs/>
          <w:sz w:val="32"/>
          <w:szCs w:val="32"/>
        </w:rPr>
      </w:pPr>
      <w:bookmarkStart w:id="0" w:name="_Toc457580728"/>
      <w:r>
        <w:rPr>
          <w:rFonts w:ascii="Arial" w:eastAsia="黑体" w:hAnsi="Arial" w:hint="eastAsia"/>
          <w:b/>
          <w:bCs/>
          <w:sz w:val="32"/>
          <w:szCs w:val="32"/>
        </w:rPr>
        <w:t>同济大学硕士研究生奖助及其管理办法</w:t>
      </w:r>
      <w:bookmarkEnd w:id="0"/>
    </w:p>
    <w:p w:rsidR="00C46496" w:rsidRDefault="00C46496" w:rsidP="00C46496">
      <w:pPr>
        <w:spacing w:afterLines="100" w:after="312" w:line="360" w:lineRule="auto"/>
        <w:ind w:firstLineChars="200" w:firstLine="420"/>
        <w:jc w:val="center"/>
        <w:rPr>
          <w:rFonts w:ascii="宋体" w:hAnsi="宋体"/>
          <w:bCs/>
          <w:szCs w:val="21"/>
        </w:rPr>
      </w:pPr>
      <w:r>
        <w:rPr>
          <w:rFonts w:ascii="宋体" w:hAnsi="宋体" w:hint="eastAsia"/>
          <w:bCs/>
          <w:szCs w:val="21"/>
        </w:rPr>
        <w:t>(2014版)</w:t>
      </w:r>
    </w:p>
    <w:p w:rsidR="00C46496" w:rsidRDefault="00C46496" w:rsidP="00C46496">
      <w:pPr>
        <w:tabs>
          <w:tab w:val="left" w:pos="7513"/>
        </w:tabs>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为进一步深化研究生培养机制改革，统筹资源，加强研究生资助力度，规范奖助管理，</w:t>
      </w:r>
      <w:r>
        <w:rPr>
          <w:rFonts w:asciiTheme="minorEastAsia" w:eastAsiaTheme="minorEastAsia" w:hAnsiTheme="minorEastAsia" w:hint="eastAsia"/>
          <w:sz w:val="24"/>
        </w:rPr>
        <w:t>特制定本办法。</w:t>
      </w:r>
    </w:p>
    <w:p w:rsidR="00C46496" w:rsidRDefault="00C46496" w:rsidP="00C46496">
      <w:pPr>
        <w:spacing w:line="360" w:lineRule="auto"/>
        <w:ind w:firstLineChars="200" w:firstLine="482"/>
        <w:rPr>
          <w:rFonts w:ascii="黑体" w:eastAsia="黑体" w:hAnsi="黑体"/>
          <w:b/>
          <w:bCs/>
          <w:color w:val="000000"/>
          <w:sz w:val="24"/>
        </w:rPr>
      </w:pPr>
      <w:r>
        <w:rPr>
          <w:rFonts w:ascii="黑体" w:eastAsia="黑体" w:hAnsi="黑体" w:hint="eastAsia"/>
          <w:b/>
          <w:bCs/>
          <w:color w:val="000000"/>
          <w:sz w:val="24"/>
        </w:rPr>
        <w:t>一、奖助原则</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（一）符合教育部研究生奖助的文件精神；</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（二）满足实施“卓越人才计划”的要求；</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（三）为进一步提高研究生培养质量，吸引优秀生源，优化研究生培养体系，加强导师在研究生培养中的责任。</w:t>
      </w:r>
    </w:p>
    <w:p w:rsidR="00C46496" w:rsidRDefault="00C46496" w:rsidP="00C46496">
      <w:pPr>
        <w:spacing w:line="360" w:lineRule="auto"/>
        <w:ind w:firstLineChars="200" w:firstLine="482"/>
        <w:rPr>
          <w:rFonts w:ascii="黑体" w:eastAsia="黑体" w:hAnsi="黑体"/>
          <w:b/>
          <w:bCs/>
          <w:color w:val="000000"/>
          <w:sz w:val="24"/>
        </w:rPr>
      </w:pPr>
      <w:r>
        <w:rPr>
          <w:rFonts w:ascii="黑体" w:eastAsia="黑体" w:hAnsi="黑体" w:hint="eastAsia"/>
          <w:b/>
          <w:bCs/>
          <w:color w:val="000000"/>
          <w:sz w:val="24"/>
        </w:rPr>
        <w:t>二、奖助对象</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本办法适用于以下学历教育硕士研究生：</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（一）非定向就业学术型硕士研究生；</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二）非定向就业专业学位硕士研究生。除法律硕士（非法学）、工商管理硕士、公共管理硕士、工程管理硕士、软件工程领域工程硕士、工程管理硕士、翻译硕士、金融硕士和会计硕士等，以上类别研究生按照同济大学研究生院在职教育管理处的有关规定执行；</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（三）少数民族高层次骨干人才计划（以下简称少高计划）非在职硕士研究生。</w:t>
      </w:r>
    </w:p>
    <w:p w:rsidR="00C46496" w:rsidRDefault="00C46496" w:rsidP="00C46496">
      <w:pPr>
        <w:spacing w:line="360" w:lineRule="auto"/>
        <w:ind w:firstLineChars="200" w:firstLine="482"/>
        <w:rPr>
          <w:rFonts w:ascii="黑体" w:eastAsia="黑体" w:hAnsi="黑体"/>
          <w:b/>
          <w:bCs/>
          <w:color w:val="000000"/>
          <w:sz w:val="24"/>
        </w:rPr>
      </w:pPr>
      <w:r>
        <w:rPr>
          <w:rFonts w:ascii="黑体" w:eastAsia="黑体" w:hAnsi="黑体" w:hint="eastAsia"/>
          <w:b/>
          <w:bCs/>
          <w:color w:val="000000"/>
          <w:sz w:val="24"/>
        </w:rPr>
        <w:t>三、奖助基本条件</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（一）热爱社会主义祖国，拥护中国共产党的领导；</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（二）遵守宪法和法律，遵守学校的规章制度；</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（三）诚实守信，勤奋学习，努力掌握专业知识，各门课程学习成绩合格；</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（四）积极参与科学研究和社会实践；</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（五）除特别说明外，所有奖助都在规定的学制内有效；</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（六）按学校规定报到和注册。</w:t>
      </w:r>
    </w:p>
    <w:p w:rsidR="00C46496" w:rsidRDefault="00C46496" w:rsidP="00C46496">
      <w:pPr>
        <w:spacing w:line="360" w:lineRule="auto"/>
        <w:ind w:firstLineChars="200" w:firstLine="482"/>
        <w:rPr>
          <w:rFonts w:ascii="黑体" w:eastAsia="黑体" w:hAnsi="黑体"/>
          <w:b/>
          <w:bCs/>
          <w:color w:val="000000"/>
          <w:sz w:val="24"/>
        </w:rPr>
      </w:pPr>
      <w:r>
        <w:rPr>
          <w:rFonts w:ascii="黑体" w:eastAsia="黑体" w:hAnsi="黑体" w:hint="eastAsia"/>
          <w:b/>
          <w:bCs/>
          <w:color w:val="000000"/>
          <w:sz w:val="24"/>
        </w:rPr>
        <w:t>四、硕士研究生奖助方案</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硕士研究生奖助方案简况见附件1。详细情况如下：</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lastRenderedPageBreak/>
        <w:t>（一）学业奖学金</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设置学业奖学金，用于资助学制内研究生的学费。学业奖学金标准为0.8万元/学年。纳入本奖助体系的硕士研究生入学时，可获得学业奖学金。在学制内，学业奖学金将根据研究生的学习、科研和其它综合表现调整。</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（二）助学金</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纳入本奖助方案硕士研究生学制内可享受助学金。助学金标准如下：</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1.学术型硕士研究生学制内第一年800元/月，第二、第三年1000元/月（其中导师配套200元/月）。每年发放10个月。</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2.专业学位硕士研究生学制内助学金为600元/月。每年发放10个月。</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3.少高计划硕士研究生按国家标准发放助学金。</w:t>
      </w:r>
    </w:p>
    <w:p w:rsidR="00C46496" w:rsidRDefault="00C46496" w:rsidP="00C46496">
      <w:pPr>
        <w:spacing w:line="360" w:lineRule="auto"/>
        <w:ind w:firstLineChars="200" w:firstLine="480"/>
        <w:rPr>
          <w:rFonts w:asciiTheme="minorEastAsia" w:eastAsiaTheme="minorEastAsia" w:hAnsiTheme="minorEastAsia"/>
          <w:sz w:val="24"/>
        </w:rPr>
      </w:pPr>
      <w:bookmarkStart w:id="1" w:name="_Toc424301504"/>
      <w:r>
        <w:rPr>
          <w:rFonts w:asciiTheme="minorEastAsia" w:eastAsiaTheme="minorEastAsia" w:hAnsiTheme="minorEastAsia" w:hint="eastAsia"/>
          <w:sz w:val="24"/>
        </w:rPr>
        <w:t>（三）助研酬金</w:t>
      </w:r>
      <w:bookmarkEnd w:id="1"/>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助研酬金为硕士研究生协助导师从事与科研项目有关的科研活动所获得的酬金，由研究生导师根据其具体表现发放。硕士生助研酬金每月最高1000元。若需超过标准，向研究生院基金办和财务处备案。</w:t>
      </w:r>
    </w:p>
    <w:p w:rsidR="00C46496" w:rsidRDefault="00C46496" w:rsidP="00C46496">
      <w:pPr>
        <w:spacing w:line="360" w:lineRule="auto"/>
        <w:ind w:firstLineChars="200" w:firstLine="480"/>
        <w:rPr>
          <w:rFonts w:asciiTheme="minorEastAsia" w:eastAsiaTheme="minorEastAsia" w:hAnsiTheme="minorEastAsia"/>
          <w:sz w:val="24"/>
        </w:rPr>
      </w:pPr>
      <w:bookmarkStart w:id="2" w:name="_Toc424301505"/>
      <w:r>
        <w:rPr>
          <w:rFonts w:asciiTheme="minorEastAsia" w:eastAsiaTheme="minorEastAsia" w:hAnsiTheme="minorEastAsia" w:hint="eastAsia"/>
          <w:sz w:val="24"/>
        </w:rPr>
        <w:t>（四）助管和助教</w:t>
      </w:r>
      <w:bookmarkEnd w:id="2"/>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根据学生能力培养、学校管理和教学工作的需要，设置若干助教、助管岗位，这些岗位对纳入本奖助方案的所有硕士研究生开放。鼓励有能力和有意愿参与教学、管理实践的研究生申请。原则上每名硕士研究生只能申请一个助教或助管岗位。</w:t>
      </w:r>
    </w:p>
    <w:p w:rsidR="00C46496" w:rsidRDefault="00C46496" w:rsidP="00C46496">
      <w:pPr>
        <w:spacing w:line="360" w:lineRule="auto"/>
        <w:ind w:firstLineChars="200" w:firstLine="480"/>
        <w:rPr>
          <w:rFonts w:asciiTheme="minorEastAsia" w:eastAsiaTheme="minorEastAsia" w:hAnsiTheme="minorEastAsia"/>
          <w:sz w:val="24"/>
        </w:rPr>
      </w:pPr>
      <w:bookmarkStart w:id="3" w:name="_Toc424301506"/>
      <w:r>
        <w:rPr>
          <w:rFonts w:asciiTheme="minorEastAsia" w:eastAsiaTheme="minorEastAsia" w:hAnsiTheme="minorEastAsia" w:hint="eastAsia"/>
          <w:sz w:val="24"/>
        </w:rPr>
        <w:t>（五）硕士研究生奖学金</w:t>
      </w:r>
      <w:bookmarkEnd w:id="3"/>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1.硕士研究生国家奖学金，数量根据国家当年下达名额确定。</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2.同济大学优秀硕士生奖学金，标准为0.5万元/人，数量为在校全日制硕士研究生人数（不含一年级）的2.5%左右。</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3.同济大学研究生社会活动奖学金，标准为0.5万元/人，数量为在校全日制硕士研究生人数（不含一年级）的2.5%左右。</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4.社会捐赠奖学金，奖励标准、名额和要求等根据捐赠协议确定。</w:t>
      </w:r>
    </w:p>
    <w:p w:rsidR="00C46496" w:rsidRDefault="00C46496" w:rsidP="00C46496">
      <w:pPr>
        <w:spacing w:line="360" w:lineRule="auto"/>
        <w:ind w:firstLineChars="200" w:firstLine="480"/>
        <w:rPr>
          <w:rFonts w:asciiTheme="minorEastAsia" w:eastAsiaTheme="minorEastAsia" w:hAnsiTheme="minorEastAsia"/>
          <w:sz w:val="24"/>
        </w:rPr>
      </w:pPr>
      <w:bookmarkStart w:id="4" w:name="_Toc424301507"/>
      <w:r>
        <w:rPr>
          <w:rFonts w:asciiTheme="minorEastAsia" w:eastAsiaTheme="minorEastAsia" w:hAnsiTheme="minorEastAsia" w:hint="eastAsia"/>
          <w:sz w:val="24"/>
        </w:rPr>
        <w:t>（六）其它说明</w:t>
      </w:r>
      <w:bookmarkEnd w:id="4"/>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1.学业奖学金的管理办法详见本文第五部分；助学金见本文第六部分；助研酬金管理办法见本文第七部分；助教和助管的管理办法见本文第八部分；硕士研</w:t>
      </w:r>
      <w:r>
        <w:rPr>
          <w:rFonts w:asciiTheme="minorEastAsia" w:eastAsiaTheme="minorEastAsia" w:hAnsiTheme="minorEastAsia" w:hint="eastAsia"/>
          <w:sz w:val="24"/>
        </w:rPr>
        <w:lastRenderedPageBreak/>
        <w:t>究生奖学金见本文第九部分。</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2.国家助学贷款和帮困基金等，按照学校有关规定执行。</w:t>
      </w:r>
    </w:p>
    <w:p w:rsidR="00C46496" w:rsidRDefault="00C46496" w:rsidP="00C46496">
      <w:pPr>
        <w:spacing w:line="360" w:lineRule="auto"/>
        <w:ind w:firstLineChars="200" w:firstLine="482"/>
        <w:rPr>
          <w:rFonts w:ascii="黑体" w:eastAsia="黑体" w:hAnsi="黑体"/>
          <w:b/>
          <w:bCs/>
          <w:color w:val="000000"/>
          <w:sz w:val="24"/>
        </w:rPr>
      </w:pPr>
      <w:bookmarkStart w:id="5" w:name="_Toc424301508"/>
      <w:r>
        <w:rPr>
          <w:rFonts w:ascii="黑体" w:eastAsia="黑体" w:hAnsi="黑体" w:hint="eastAsia"/>
          <w:b/>
          <w:bCs/>
          <w:color w:val="000000"/>
          <w:sz w:val="24"/>
        </w:rPr>
        <w:t>五、学业奖学金管理办法</w:t>
      </w:r>
      <w:bookmarkEnd w:id="5"/>
    </w:p>
    <w:p w:rsidR="00C46496" w:rsidRDefault="00C46496" w:rsidP="00C46496">
      <w:pPr>
        <w:spacing w:line="360" w:lineRule="auto"/>
        <w:ind w:firstLineChars="200" w:firstLine="480"/>
        <w:rPr>
          <w:rFonts w:asciiTheme="minorEastAsia" w:eastAsiaTheme="minorEastAsia" w:hAnsiTheme="minorEastAsia"/>
          <w:sz w:val="24"/>
        </w:rPr>
      </w:pPr>
      <w:bookmarkStart w:id="6" w:name="_Toc424301509"/>
      <w:r>
        <w:rPr>
          <w:rFonts w:asciiTheme="minorEastAsia" w:eastAsiaTheme="minorEastAsia" w:hAnsiTheme="minorEastAsia" w:hint="eastAsia"/>
          <w:sz w:val="24"/>
        </w:rPr>
        <w:t>（一）学业奖学金操作程序</w:t>
      </w:r>
      <w:bookmarkEnd w:id="6"/>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1.在学制内，根据研究生录取、报到、注册和培养等信息确定。三年制硕士学业奖学金按学年评定，两年半学制硕士研究生按照一年、半年和一年三个学习阶段评定。</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2.每学年或学习阶段结束后，根据学生学习、科研和其它综合表现，确定下一学年或阶段的学业奖学金。</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3.对经济困难的硕士研究生，可提出缓交学费申请。获批后，可用学业奖学金抵充学费。</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4.休学期间学业奖学金暂缓发放。复学后经本人申请，学院、研究生院审核，评定相应阶段的学业奖学金，同时后续对学业奖学金的评定也按其入学时所在年级统一进行。</w:t>
      </w:r>
    </w:p>
    <w:p w:rsidR="00C46496" w:rsidRDefault="00C46496" w:rsidP="00C46496">
      <w:pPr>
        <w:spacing w:line="360" w:lineRule="auto"/>
        <w:ind w:firstLineChars="200" w:firstLine="480"/>
        <w:rPr>
          <w:rFonts w:asciiTheme="minorEastAsia" w:eastAsiaTheme="minorEastAsia" w:hAnsiTheme="minorEastAsia"/>
          <w:sz w:val="24"/>
        </w:rPr>
      </w:pPr>
      <w:bookmarkStart w:id="7" w:name="_Toc424301510"/>
      <w:r>
        <w:rPr>
          <w:rFonts w:asciiTheme="minorEastAsia" w:eastAsiaTheme="minorEastAsia" w:hAnsiTheme="minorEastAsia" w:hint="eastAsia"/>
          <w:sz w:val="24"/>
        </w:rPr>
        <w:t>（二）学业奖学金的取消</w:t>
      </w:r>
      <w:bookmarkEnd w:id="7"/>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研究生在学期间发生下列情况之一者取消其学业奖学金：</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1.课程考试一门次不合格者；</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2.第一次中期考核未通过者</w:t>
      </w:r>
      <w:r>
        <w:rPr>
          <w:rFonts w:asciiTheme="minorEastAsia" w:eastAsiaTheme="minorEastAsia" w:hAnsiTheme="minorEastAsia" w:hint="eastAsia"/>
          <w:sz w:val="24"/>
          <w:vertAlign w:val="superscript"/>
        </w:rPr>
        <w:footnoteReference w:id="1"/>
      </w:r>
      <w:r>
        <w:rPr>
          <w:rFonts w:asciiTheme="minorEastAsia" w:eastAsiaTheme="minorEastAsia" w:hAnsiTheme="minorEastAsia" w:hint="eastAsia"/>
          <w:sz w:val="24"/>
        </w:rPr>
        <w:t>；</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3.违反校纪校规受到处分者；</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4.规定学制结束者;</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lastRenderedPageBreak/>
        <w:t>5.违反研究生学术行为规范</w:t>
      </w:r>
      <w:r>
        <w:rPr>
          <w:rFonts w:asciiTheme="minorEastAsia" w:eastAsiaTheme="minorEastAsia" w:hAnsiTheme="minorEastAsia" w:hint="eastAsia"/>
          <w:sz w:val="24"/>
          <w:vertAlign w:val="superscript"/>
        </w:rPr>
        <w:footnoteReference w:id="2"/>
      </w:r>
      <w:r>
        <w:rPr>
          <w:rFonts w:asciiTheme="minorEastAsia" w:eastAsiaTheme="minorEastAsia" w:hAnsiTheme="minorEastAsia" w:hint="eastAsia"/>
          <w:sz w:val="24"/>
        </w:rPr>
        <w:t>并被认定者；</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6.未经导师同意自行在校外兼职者；</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7.非因不可抗力的正当事由超过2周未注册者。</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学业奖学金一经取消，不再予以恢复。</w:t>
      </w:r>
    </w:p>
    <w:p w:rsidR="00C46496" w:rsidRDefault="00C46496" w:rsidP="00C46496">
      <w:pPr>
        <w:spacing w:line="360" w:lineRule="auto"/>
        <w:ind w:firstLineChars="200" w:firstLine="482"/>
        <w:rPr>
          <w:rFonts w:ascii="黑体" w:eastAsia="黑体" w:hAnsi="黑体"/>
          <w:b/>
          <w:bCs/>
          <w:color w:val="000000"/>
          <w:sz w:val="24"/>
        </w:rPr>
      </w:pPr>
      <w:bookmarkStart w:id="8" w:name="_Toc424301511"/>
      <w:r>
        <w:rPr>
          <w:rFonts w:ascii="黑体" w:eastAsia="黑体" w:hAnsi="黑体" w:hint="eastAsia"/>
          <w:b/>
          <w:bCs/>
          <w:color w:val="000000"/>
          <w:sz w:val="24"/>
        </w:rPr>
        <w:t>六、助学金管理办法</w:t>
      </w:r>
      <w:bookmarkEnd w:id="8"/>
    </w:p>
    <w:p w:rsidR="00C46496" w:rsidRDefault="00C46496" w:rsidP="00C46496">
      <w:pPr>
        <w:spacing w:line="360" w:lineRule="auto"/>
        <w:ind w:firstLineChars="200" w:firstLine="480"/>
        <w:rPr>
          <w:rFonts w:asciiTheme="minorEastAsia" w:eastAsiaTheme="minorEastAsia" w:hAnsiTheme="minorEastAsia"/>
          <w:sz w:val="24"/>
        </w:rPr>
      </w:pPr>
      <w:bookmarkStart w:id="9" w:name="_Toc424301512"/>
      <w:bookmarkStart w:id="10" w:name="_Toc404696837"/>
      <w:r>
        <w:rPr>
          <w:rFonts w:asciiTheme="minorEastAsia" w:eastAsiaTheme="minorEastAsia" w:hAnsiTheme="minorEastAsia" w:hint="eastAsia"/>
          <w:sz w:val="24"/>
        </w:rPr>
        <w:t>（一）助学金的发放</w:t>
      </w:r>
      <w:bookmarkEnd w:id="9"/>
      <w:bookmarkEnd w:id="10"/>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1.学制内硕士研究生根据学生录取、报到、注册和培养等信息确定名单。</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2.助学金按月发放，每年按十个月计（2、8月不发）。</w:t>
      </w:r>
    </w:p>
    <w:p w:rsidR="00C46496" w:rsidRDefault="00C46496" w:rsidP="00C46496">
      <w:pPr>
        <w:spacing w:line="360" w:lineRule="auto"/>
        <w:ind w:firstLineChars="200" w:firstLine="480"/>
        <w:rPr>
          <w:rFonts w:asciiTheme="minorEastAsia" w:eastAsiaTheme="minorEastAsia" w:hAnsiTheme="minorEastAsia"/>
          <w:sz w:val="24"/>
        </w:rPr>
      </w:pPr>
      <w:bookmarkStart w:id="11" w:name="_Toc424301513"/>
      <w:r>
        <w:rPr>
          <w:rFonts w:asciiTheme="minorEastAsia" w:eastAsiaTheme="minorEastAsia" w:hAnsiTheme="minorEastAsia" w:hint="eastAsia"/>
          <w:sz w:val="24"/>
        </w:rPr>
        <w:t>（二）助学金的取消</w:t>
      </w:r>
      <w:bookmarkEnd w:id="11"/>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1.研究生由于出国、疾病等原因办理保留学籍或休学等手续的，暂停发放助学金；</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2.停发期结束后，本人须向所在院（系、所）提出恢复助学金的申请，经导师同意，所在学院审核后，报研究生院审批，方能恢复发放。</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3.超过规定学制年限的延期毕业生不再享受助学金。</w:t>
      </w:r>
    </w:p>
    <w:p w:rsidR="00C46496" w:rsidRDefault="00C46496" w:rsidP="00C46496">
      <w:pPr>
        <w:spacing w:line="360" w:lineRule="auto"/>
        <w:ind w:firstLineChars="200" w:firstLine="480"/>
        <w:rPr>
          <w:rFonts w:asciiTheme="minorEastAsia" w:eastAsiaTheme="minorEastAsia" w:hAnsiTheme="minorEastAsia"/>
          <w:sz w:val="24"/>
        </w:rPr>
      </w:pPr>
      <w:bookmarkStart w:id="12" w:name="_Toc404696839"/>
      <w:bookmarkStart w:id="13" w:name="_Toc424301514"/>
      <w:r>
        <w:rPr>
          <w:rFonts w:asciiTheme="minorEastAsia" w:eastAsiaTheme="minorEastAsia" w:hAnsiTheme="minorEastAsia" w:hint="eastAsia"/>
          <w:sz w:val="24"/>
        </w:rPr>
        <w:t>（三）助学金经费管理</w:t>
      </w:r>
      <w:bookmarkEnd w:id="12"/>
      <w:bookmarkEnd w:id="13"/>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1.助学金中学校承担部分由学校直接划拨至研究生教育创新基金账户。</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2.由导师出资部分的管理</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招收非定向就业学术型硕士研究生的导师需将学生学制内应资助经费一次性划拨到学院导师资助专用账户。学制内第二、三年导师配套支付200元/月，学制2.5学年的学生导师需支付3000元/人，学制3学年的学生导师需支付4000元/人。</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（2）学生满学制或终止学业后，导师出资费用的结余部分仍可用于导师其他研究生的资助。</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（3）转导师审批时，转入导师需将新转入学生可能要发生的资助费用一次性划拨到学院导师资助专用账户，转出导师预付的资助费用将作为结余经费用于导师其他研究生的资助。</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3.硕士扶持基金的申请和发放</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（1）硕士扶持基金用于支持文科和部分理科导师的硕士研究生培养工作，</w:t>
      </w:r>
      <w:r>
        <w:rPr>
          <w:rFonts w:asciiTheme="minorEastAsia" w:eastAsiaTheme="minorEastAsia" w:hAnsiTheme="minorEastAsia" w:hint="eastAsia"/>
          <w:sz w:val="24"/>
        </w:rPr>
        <w:lastRenderedPageBreak/>
        <w:t>支付助学金当中导师出资部分。每年在招生录取工作前，由研究生院发出申请通知，学院组织招生导师进行申请，研究生教育创新基金管理委员会进行评审。每位招生导师在申请时需完成至少一项上一年度人事处专业技术岗位高级职务任职必备条件中科学研究方面要求的内容。每位招生导师限申请一份硕士扶持基金。</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硕士扶持基金的发放。由研究生院根据扶持基金批准情况将相关数据材料报财务处，财务处将扶持基金抵扣导师资助经费，不发生现金流转。如导师获得扶持基金，但学生未报到入学或中途退学，未使用的扶持基金由学校收回。</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4.为保障研究生的权益，学校按导师资助总额的5%设立风险准备金，在导师经费因意外不到位的情况下预支给应资助的研究生。</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5.院（系、所）落实导师资助专用账户管理人员，管理人员需掌握该账户的动态使用情况，如有导师资助经费不足的情况，及时上报研究生教育创新基金管理办公室。</w:t>
      </w:r>
    </w:p>
    <w:p w:rsidR="00C46496" w:rsidRDefault="00C46496" w:rsidP="00C46496">
      <w:pPr>
        <w:spacing w:line="360" w:lineRule="auto"/>
        <w:ind w:firstLineChars="200" w:firstLine="482"/>
        <w:rPr>
          <w:rFonts w:ascii="黑体" w:eastAsia="黑体" w:hAnsi="黑体"/>
          <w:b/>
          <w:bCs/>
          <w:color w:val="000000"/>
          <w:sz w:val="24"/>
        </w:rPr>
      </w:pPr>
      <w:bookmarkStart w:id="14" w:name="_Toc424301515"/>
      <w:r>
        <w:rPr>
          <w:rFonts w:ascii="黑体" w:eastAsia="黑体" w:hAnsi="黑体" w:hint="eastAsia"/>
          <w:b/>
          <w:bCs/>
          <w:color w:val="000000"/>
          <w:sz w:val="24"/>
        </w:rPr>
        <w:t>七、助研酬金</w:t>
      </w:r>
      <w:bookmarkEnd w:id="14"/>
    </w:p>
    <w:p w:rsidR="00C46496" w:rsidRDefault="00C46496" w:rsidP="00C46496">
      <w:pPr>
        <w:spacing w:line="360" w:lineRule="auto"/>
        <w:ind w:firstLineChars="200" w:firstLine="480"/>
        <w:rPr>
          <w:rFonts w:asciiTheme="minorEastAsia" w:eastAsiaTheme="minorEastAsia" w:hAnsiTheme="minorEastAsia"/>
          <w:kern w:val="0"/>
          <w:sz w:val="24"/>
        </w:rPr>
      </w:pPr>
      <w:r>
        <w:rPr>
          <w:rFonts w:asciiTheme="minorEastAsia" w:eastAsiaTheme="minorEastAsia" w:hAnsiTheme="minorEastAsia" w:hint="eastAsia"/>
          <w:sz w:val="24"/>
        </w:rPr>
        <w:t>助研酬金的发放由导师提出申请，经研究生院研究生教育创新基金管理办公室审核后，财务处予以发放。</w:t>
      </w:r>
    </w:p>
    <w:p w:rsidR="00C46496" w:rsidRDefault="00C46496" w:rsidP="00C46496">
      <w:pPr>
        <w:spacing w:line="360" w:lineRule="auto"/>
        <w:ind w:firstLineChars="200" w:firstLine="482"/>
        <w:rPr>
          <w:rFonts w:ascii="黑体" w:eastAsia="黑体" w:hAnsi="黑体"/>
          <w:b/>
          <w:bCs/>
          <w:color w:val="000000"/>
          <w:sz w:val="24"/>
        </w:rPr>
      </w:pPr>
      <w:bookmarkStart w:id="15" w:name="_Toc424301516"/>
      <w:r>
        <w:rPr>
          <w:rFonts w:ascii="黑体" w:eastAsia="黑体" w:hAnsi="黑体" w:hint="eastAsia"/>
          <w:b/>
          <w:bCs/>
          <w:color w:val="000000"/>
          <w:sz w:val="24"/>
        </w:rPr>
        <w:t>八、助教、助管</w:t>
      </w:r>
      <w:bookmarkEnd w:id="15"/>
    </w:p>
    <w:p w:rsidR="00C46496" w:rsidRDefault="00C46496" w:rsidP="00C46496">
      <w:pPr>
        <w:spacing w:line="360" w:lineRule="auto"/>
        <w:ind w:firstLineChars="200" w:firstLine="480"/>
        <w:rPr>
          <w:rFonts w:asciiTheme="minorEastAsia" w:eastAsiaTheme="minorEastAsia" w:hAnsiTheme="minorEastAsia"/>
          <w:sz w:val="24"/>
        </w:rPr>
      </w:pPr>
      <w:bookmarkStart w:id="16" w:name="_Toc424301517"/>
      <w:r>
        <w:rPr>
          <w:rFonts w:asciiTheme="minorEastAsia" w:eastAsiaTheme="minorEastAsia" w:hAnsiTheme="minorEastAsia" w:hint="eastAsia"/>
          <w:sz w:val="24"/>
        </w:rPr>
        <w:t>（一）助教和助管岗位的定义、设置和来源</w:t>
      </w:r>
      <w:bookmarkEnd w:id="16"/>
    </w:p>
    <w:p w:rsidR="00C46496" w:rsidRDefault="00C46496" w:rsidP="00C46496">
      <w:pPr>
        <w:spacing w:line="360" w:lineRule="auto"/>
        <w:ind w:firstLineChars="200" w:firstLine="480"/>
        <w:rPr>
          <w:rFonts w:asciiTheme="minorEastAsia" w:eastAsiaTheme="minorEastAsia" w:hAnsiTheme="minorEastAsia"/>
          <w:sz w:val="24"/>
        </w:rPr>
      </w:pPr>
      <w:bookmarkStart w:id="17" w:name="_Toc327452436"/>
      <w:r>
        <w:rPr>
          <w:rFonts w:asciiTheme="minorEastAsia" w:eastAsiaTheme="minorEastAsia" w:hAnsiTheme="minorEastAsia" w:hint="eastAsia"/>
          <w:sz w:val="24"/>
        </w:rPr>
        <w:t>1.助教</w:t>
      </w:r>
      <w:bookmarkEnd w:id="17"/>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为培养研究生从事教学工作的能力，增强研究生对相关知识的系统掌握和理解，设置助教岗位。在岗研究生应完成规定的教学实践任务，主要从事教学辅导、答疑、批改作业、指导实验、上习题课和协助指导生产实习等。</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助教岗位根据研究生能力培养和学校教学工作的需求情况确定，面向纳入本奖助体系的研究生公开聘用，由教务处依据当学期本科教学要求及当年可聘用助教的数量确定各学院（系）有关课程的助教岗位要求和设置名额。</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助教岗位酬金标准：800元/月，按学生实际上岗情况发放（2月和8月不发）。助教岗位酬金由学校承担。</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2.助管</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为培养研究生的管理能力，设置助管岗位。在岗研究生从事服务、管理工作。</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助管岗位根据学校管理工作的需求情况确定，面向纳入本奖助体系全日制硕</w:t>
      </w:r>
      <w:r>
        <w:rPr>
          <w:rFonts w:asciiTheme="minorEastAsia" w:eastAsiaTheme="minorEastAsia" w:hAnsiTheme="minorEastAsia" w:hint="eastAsia"/>
          <w:sz w:val="24"/>
        </w:rPr>
        <w:lastRenderedPageBreak/>
        <w:t>士研究生公开聘用。硕士助管岗位由学校各部门根据实际需要设置。岗位设置时间以学期为单位。每学期末各院（系、所）、各部门向研究生院上报助管培养计划、需求数量和要求。根据各单位实际情况，经研究生院和人事处核准后，向各单位下达助管聘任名额。</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助管岗位酬金标准：800元/月，按学生实际上岗情况发放（2月和8月不发）。助管岗位酬金由学校承担。</w:t>
      </w:r>
      <w:bookmarkStart w:id="18" w:name="_Toc327452438"/>
    </w:p>
    <w:p w:rsidR="00C46496" w:rsidRDefault="00C46496" w:rsidP="00C46496">
      <w:pPr>
        <w:spacing w:line="360" w:lineRule="auto"/>
        <w:ind w:firstLineChars="200" w:firstLine="480"/>
        <w:rPr>
          <w:rFonts w:asciiTheme="minorEastAsia" w:eastAsiaTheme="minorEastAsia" w:hAnsiTheme="minorEastAsia"/>
          <w:sz w:val="24"/>
        </w:rPr>
      </w:pPr>
      <w:bookmarkStart w:id="19" w:name="_Toc424301518"/>
      <w:bookmarkEnd w:id="18"/>
      <w:r>
        <w:rPr>
          <w:rFonts w:asciiTheme="minorEastAsia" w:eastAsiaTheme="minorEastAsia" w:hAnsiTheme="minorEastAsia" w:hint="eastAsia"/>
          <w:sz w:val="24"/>
        </w:rPr>
        <w:t>（二）管理办法</w:t>
      </w:r>
      <w:bookmarkEnd w:id="19"/>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1．基本管理原则</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（1）研究生助教和助管工作由学校统一协调管理。</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（2）所有助教和助管岗位遵循“公开、公平、公正”的原则招聘。研究生从事助教、助管工作应征得导师同意，且不影响正常学习和科研工作。</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（3）纳入本资助体系的全部硕士研究生均有资格竞聘获得“助管”或“助教”岗位。</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2．助教和助管岗位酬金管理</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研究生助教和助管岗位酬金由学校直接划拨至研究生教育创新基金账户。</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3.助教和助管岗位聘任和考核</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助教和助管岗位聘用、解聘和考核工作实行网络化管理。研究生通过同济大学研究生教育管理信息系统，根据岗位要求和自身条件填写相关申请信息，各学院（系）和相关管理部门根据学生的申请，组织审核、面试和聘任等工作。</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（1）助教聘任</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研究生助教资格由聘用单位组织面试确定。研究生获聘助教后，须参加助教岗前培训。</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（2）助管聘任</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各院（系、所）助管岗位原则上面向本单位研究生招聘，学校各部门助管岗位面向全校研究生招聘。用人单位组织面试，进行审核评聘。研究生获聘助管后，须参加助管岗前培训。</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（3）助教和助管的培训</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助教和助管未经过培训不得上岗。助教由教务处组织上岗培训，研究生院协助。助管由人事处组织上岗培训，研究生院协助，培养过程由各聘用单位实施。</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lastRenderedPageBreak/>
        <w:t>（4）助教和助管岗位工作时间要求</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研究生在担任助教或助管工作期间应有一定的工作量和时间投入，同时不影响研究生的论文写作与科研工作，一年级研究生担任助教、助管工作时间最低不少于8小时/周，不高于10小时/周；二年级及以上研究生担任助教、助管工作时间最低不少于10小时/周，不高于12小时/周。</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（5）助教和助管岗位工作考核</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院（系、所）、用人单位负责对助教或助管工作考核，根据岗位工作任务与要求，由负责指导的教师或聘用部门对聘任的研究生做出工作评价，按照双向选择的原则，确定对被考核研究生调岗或解聘。</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4.酬金发放</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研究生院根据学生上岗情况按月发放酬金。（每年2月、8月为假期，原则上不聘用助教和助管岗位）</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 xml:space="preserve">5.助教和助管岗位解聘  </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如获助教或助管岗位的研究生有以下任一情况发生，停止聘用和酬金发放：</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（1）研究生因任何原因中止或终止学业；</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（2）研究生违反校纪校规；</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（3）研究生工作不投入、工作态度不认真；或工作有重大失误并带来不良影响；</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（4）违反同济大学研究生学术行为规范</w:t>
      </w:r>
      <w:r>
        <w:rPr>
          <w:rFonts w:asciiTheme="minorEastAsia" w:eastAsiaTheme="minorEastAsia" w:hAnsiTheme="minorEastAsia" w:hint="eastAsia"/>
          <w:sz w:val="24"/>
          <w:vertAlign w:val="superscript"/>
        </w:rPr>
        <w:footnoteReference w:id="3"/>
      </w:r>
      <w:r>
        <w:rPr>
          <w:rFonts w:asciiTheme="minorEastAsia" w:eastAsiaTheme="minorEastAsia" w:hAnsiTheme="minorEastAsia" w:hint="eastAsia"/>
          <w:sz w:val="24"/>
        </w:rPr>
        <w:t>并被认定；</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（5）获聘研究生擅自离岗超过一月者；</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（6）获聘研究生提出解除聘用；</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（7）获聘研究生请假离岗超过一月者；</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（8）未按时办理报到注册手续超过4周；</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（9）导师或用人单位认为需要解聘者；</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（10）其它不能完成岗位要求的情况。</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在上述（2）～（5）情况下，研究生不得再次上岗。</w:t>
      </w:r>
    </w:p>
    <w:p w:rsidR="00C46496" w:rsidRDefault="00C46496" w:rsidP="00C46496">
      <w:pPr>
        <w:spacing w:line="360" w:lineRule="auto"/>
        <w:ind w:firstLineChars="200" w:firstLine="482"/>
        <w:rPr>
          <w:rFonts w:ascii="黑体" w:eastAsia="黑体" w:hAnsi="黑体"/>
          <w:b/>
          <w:bCs/>
          <w:color w:val="000000"/>
          <w:sz w:val="24"/>
        </w:rPr>
      </w:pPr>
      <w:bookmarkStart w:id="20" w:name="_Toc424301519"/>
      <w:bookmarkStart w:id="21" w:name="_Toc405324910"/>
      <w:r>
        <w:rPr>
          <w:rFonts w:ascii="黑体" w:eastAsia="黑体" w:hAnsi="黑体" w:hint="eastAsia"/>
          <w:b/>
          <w:bCs/>
          <w:color w:val="000000"/>
          <w:sz w:val="24"/>
        </w:rPr>
        <w:t>九、硕士研究生奖学金</w:t>
      </w:r>
      <w:bookmarkEnd w:id="20"/>
      <w:bookmarkEnd w:id="21"/>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硕士研究生奖学金主要包括：硕士研究生国家奖学金、同济大学优秀硕士生</w:t>
      </w:r>
      <w:r>
        <w:rPr>
          <w:rFonts w:asciiTheme="minorEastAsia" w:eastAsiaTheme="minorEastAsia" w:hAnsiTheme="minorEastAsia" w:hint="eastAsia"/>
          <w:sz w:val="24"/>
        </w:rPr>
        <w:lastRenderedPageBreak/>
        <w:t>奖学金、同济大学研究生社会活动奖学金和社会捐赠奖学金等。</w:t>
      </w:r>
    </w:p>
    <w:p w:rsidR="00C46496" w:rsidRDefault="00C46496" w:rsidP="00C46496">
      <w:pPr>
        <w:spacing w:line="360" w:lineRule="auto"/>
        <w:ind w:firstLineChars="200" w:firstLine="480"/>
        <w:rPr>
          <w:rFonts w:asciiTheme="minorEastAsia" w:eastAsiaTheme="minorEastAsia" w:hAnsiTheme="minorEastAsia"/>
          <w:sz w:val="24"/>
        </w:rPr>
      </w:pPr>
      <w:bookmarkStart w:id="22" w:name="_Toc405324911"/>
      <w:bookmarkStart w:id="23" w:name="_Toc424301520"/>
      <w:r>
        <w:rPr>
          <w:rFonts w:asciiTheme="minorEastAsia" w:eastAsiaTheme="minorEastAsia" w:hAnsiTheme="minorEastAsia" w:hint="eastAsia"/>
          <w:sz w:val="24"/>
        </w:rPr>
        <w:t>（一）硕士研究生国家奖学金</w:t>
      </w:r>
      <w:bookmarkEnd w:id="22"/>
      <w:bookmarkEnd w:id="23"/>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评选办法见《同济大学研究生国家奖学金评审实施细则》。</w:t>
      </w:r>
    </w:p>
    <w:p w:rsidR="00C46496" w:rsidRDefault="00C46496" w:rsidP="00C46496">
      <w:pPr>
        <w:spacing w:line="360" w:lineRule="auto"/>
        <w:ind w:firstLineChars="200" w:firstLine="480"/>
        <w:rPr>
          <w:rFonts w:asciiTheme="minorEastAsia" w:eastAsiaTheme="minorEastAsia" w:hAnsiTheme="minorEastAsia"/>
          <w:sz w:val="24"/>
        </w:rPr>
      </w:pPr>
      <w:bookmarkStart w:id="24" w:name="_Toc405324912"/>
      <w:bookmarkStart w:id="25" w:name="_Toc424301521"/>
      <w:r>
        <w:rPr>
          <w:rFonts w:asciiTheme="minorEastAsia" w:eastAsiaTheme="minorEastAsia" w:hAnsiTheme="minorEastAsia" w:hint="eastAsia"/>
          <w:sz w:val="24"/>
        </w:rPr>
        <w:t>（二）</w:t>
      </w:r>
      <w:bookmarkStart w:id="26" w:name="_Toc405324913"/>
      <w:bookmarkEnd w:id="24"/>
      <w:r>
        <w:rPr>
          <w:rFonts w:asciiTheme="minorEastAsia" w:eastAsiaTheme="minorEastAsia" w:hAnsiTheme="minorEastAsia" w:hint="eastAsia"/>
          <w:sz w:val="24"/>
        </w:rPr>
        <w:t>同济大学优秀硕士生奖学金</w:t>
      </w:r>
      <w:bookmarkEnd w:id="25"/>
      <w:bookmarkEnd w:id="26"/>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评选办法见《同济大学研究生奖学金管理办法》。</w:t>
      </w:r>
    </w:p>
    <w:p w:rsidR="00C46496" w:rsidRDefault="00C46496" w:rsidP="00C46496">
      <w:pPr>
        <w:spacing w:line="360" w:lineRule="auto"/>
        <w:ind w:firstLineChars="200" w:firstLine="480"/>
        <w:rPr>
          <w:rFonts w:asciiTheme="minorEastAsia" w:eastAsiaTheme="minorEastAsia" w:hAnsiTheme="minorEastAsia"/>
          <w:sz w:val="24"/>
        </w:rPr>
      </w:pPr>
      <w:bookmarkStart w:id="27" w:name="_Toc405324914"/>
      <w:bookmarkStart w:id="28" w:name="_Toc424301522"/>
      <w:r>
        <w:rPr>
          <w:rFonts w:asciiTheme="minorEastAsia" w:eastAsiaTheme="minorEastAsia" w:hAnsiTheme="minorEastAsia" w:hint="eastAsia"/>
          <w:sz w:val="24"/>
        </w:rPr>
        <w:t>（三）同济大学研究生社会活动奖学金</w:t>
      </w:r>
      <w:bookmarkEnd w:id="27"/>
      <w:bookmarkEnd w:id="28"/>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评选办法见《同济大学研究生奖学金管理办法》。</w:t>
      </w:r>
    </w:p>
    <w:p w:rsidR="00C46496" w:rsidRDefault="00C46496" w:rsidP="00C46496">
      <w:pPr>
        <w:spacing w:line="360" w:lineRule="auto"/>
        <w:ind w:firstLineChars="200" w:firstLine="480"/>
        <w:rPr>
          <w:rFonts w:asciiTheme="minorEastAsia" w:eastAsiaTheme="minorEastAsia" w:hAnsiTheme="minorEastAsia"/>
          <w:sz w:val="24"/>
        </w:rPr>
      </w:pPr>
      <w:bookmarkStart w:id="29" w:name="_Toc405324915"/>
      <w:bookmarkStart w:id="30" w:name="_Toc424301523"/>
      <w:r>
        <w:rPr>
          <w:rFonts w:asciiTheme="minorEastAsia" w:eastAsiaTheme="minorEastAsia" w:hAnsiTheme="minorEastAsia" w:hint="eastAsia"/>
          <w:sz w:val="24"/>
        </w:rPr>
        <w:t>（四）社会捐赠奖学金</w:t>
      </w:r>
      <w:bookmarkEnd w:id="29"/>
      <w:bookmarkEnd w:id="30"/>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评选办法见《同济大学研究生奖学金管理办法》及相应的捐赠协议。</w:t>
      </w:r>
    </w:p>
    <w:p w:rsidR="00C46496" w:rsidRDefault="00C46496" w:rsidP="00C46496">
      <w:pPr>
        <w:spacing w:line="360" w:lineRule="auto"/>
        <w:ind w:firstLineChars="200" w:firstLine="482"/>
        <w:rPr>
          <w:rFonts w:ascii="黑体" w:eastAsia="黑体" w:hAnsi="黑体"/>
          <w:b/>
          <w:bCs/>
          <w:color w:val="000000"/>
          <w:sz w:val="24"/>
        </w:rPr>
      </w:pPr>
      <w:bookmarkStart w:id="31" w:name="_Toc424301524"/>
      <w:r>
        <w:rPr>
          <w:rFonts w:ascii="黑体" w:eastAsia="黑体" w:hAnsi="黑体" w:hint="eastAsia"/>
          <w:b/>
          <w:bCs/>
          <w:color w:val="000000"/>
          <w:sz w:val="24"/>
        </w:rPr>
        <w:t>十、国际及港澳台交流学生奖助金的管理</w:t>
      </w:r>
      <w:bookmarkEnd w:id="31"/>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为支持卓越工程师计划、加强国际及港澳台交流，对参加同济大学交流项目、在境外交流期间的研究生实行以下奖助管理规定：</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国际及港澳台交流学生凭同济大学因公出国、赴港澳台任务批件，由学生本人或院系提出申请，学业奖学金按照该生出国前或实际情况的学业奖学金类型及其所在年级和学制照常发放。第一次中期考核缓考核的学生，暂缓发放下一阶段的学业奖学金，可先自行缴纳学费，待中期考核通过后补发下一阶段的学业奖学金。</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2.助学金在学制内正常发放。满学制或答辩结束时即终止发放。</w:t>
      </w:r>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3.助管、助教岗位由岗位负责人解聘，待研究生回国报到后可重新申请助管、助教岗位。助管、助教岗位到研究生满学制时即终止聘用。</w:t>
      </w:r>
      <w:bookmarkStart w:id="32" w:name="_Toc327452446"/>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4.可正常申请硕士研究生奖学金。</w:t>
      </w:r>
    </w:p>
    <w:p w:rsidR="00C46496" w:rsidRDefault="00C46496" w:rsidP="00C46496">
      <w:pPr>
        <w:spacing w:line="360" w:lineRule="auto"/>
        <w:ind w:firstLineChars="200" w:firstLine="482"/>
        <w:rPr>
          <w:rFonts w:ascii="黑体" w:eastAsia="黑体" w:hAnsi="黑体"/>
          <w:b/>
          <w:bCs/>
          <w:color w:val="000000"/>
          <w:sz w:val="24"/>
        </w:rPr>
      </w:pPr>
      <w:bookmarkStart w:id="33" w:name="_Toc424301525"/>
      <w:r>
        <w:rPr>
          <w:rFonts w:ascii="黑体" w:eastAsia="黑体" w:hAnsi="黑体" w:hint="eastAsia"/>
          <w:b/>
          <w:bCs/>
          <w:color w:val="000000"/>
          <w:sz w:val="24"/>
        </w:rPr>
        <w:t>十一、其它</w:t>
      </w:r>
      <w:bookmarkEnd w:id="32"/>
      <w:bookmarkEnd w:id="33"/>
    </w:p>
    <w:p w:rsidR="00C46496" w:rsidRDefault="00C46496" w:rsidP="00C464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本办法由同济大学研究生院负责解释。</w:t>
      </w:r>
    </w:p>
    <w:p w:rsidR="00C46496" w:rsidRDefault="00C46496" w:rsidP="00C46496">
      <w:pPr>
        <w:spacing w:line="360" w:lineRule="auto"/>
        <w:ind w:firstLineChars="200" w:firstLine="480"/>
        <w:rPr>
          <w:rFonts w:asciiTheme="minorEastAsia" w:eastAsiaTheme="minorEastAsia" w:hAnsiTheme="minorEastAsia"/>
          <w:sz w:val="24"/>
        </w:rPr>
      </w:pPr>
    </w:p>
    <w:p w:rsidR="00C46496" w:rsidRDefault="00C46496" w:rsidP="00C46496">
      <w:pPr>
        <w:widowControl/>
        <w:spacing w:line="360" w:lineRule="auto"/>
        <w:ind w:firstLineChars="200" w:firstLine="482"/>
        <w:rPr>
          <w:rFonts w:asciiTheme="minorEastAsia" w:eastAsiaTheme="minorEastAsia" w:hAnsiTheme="minorEastAsia"/>
          <w:sz w:val="24"/>
        </w:rPr>
      </w:pPr>
      <w:r>
        <w:rPr>
          <w:rFonts w:ascii="黑体" w:eastAsia="黑体" w:hAnsi="黑体" w:hint="eastAsia"/>
          <w:b/>
          <w:bCs/>
          <w:color w:val="000000"/>
          <w:sz w:val="24"/>
        </w:rPr>
        <w:t>附件：</w:t>
      </w:r>
      <w:r>
        <w:rPr>
          <w:rFonts w:asciiTheme="minorEastAsia" w:eastAsiaTheme="minorEastAsia" w:hAnsiTheme="minorEastAsia" w:hint="eastAsia"/>
          <w:sz w:val="24"/>
        </w:rPr>
        <w:t>硕士研究生奖助方案简况表（学制内）</w:t>
      </w:r>
    </w:p>
    <w:p w:rsidR="00C46496" w:rsidRDefault="00C46496" w:rsidP="00C46496">
      <w:pPr>
        <w:spacing w:line="360" w:lineRule="auto"/>
        <w:ind w:firstLineChars="200" w:firstLine="480"/>
        <w:jc w:val="left"/>
        <w:rPr>
          <w:rFonts w:asciiTheme="minorEastAsia" w:eastAsiaTheme="minorEastAsia" w:hAnsiTheme="minorEastAsia"/>
          <w:bCs/>
          <w:sz w:val="24"/>
        </w:rPr>
      </w:pPr>
    </w:p>
    <w:p w:rsidR="00C46496" w:rsidRDefault="00C46496" w:rsidP="00C46496">
      <w:pPr>
        <w:spacing w:line="360" w:lineRule="auto"/>
        <w:ind w:firstLineChars="200" w:firstLine="480"/>
        <w:jc w:val="left"/>
        <w:rPr>
          <w:rFonts w:asciiTheme="minorEastAsia" w:eastAsiaTheme="minorEastAsia" w:hAnsiTheme="minorEastAsia"/>
          <w:bCs/>
          <w:sz w:val="24"/>
        </w:rPr>
      </w:pPr>
    </w:p>
    <w:p w:rsidR="00C46496" w:rsidRDefault="00C46496" w:rsidP="00C46496">
      <w:pPr>
        <w:spacing w:line="360" w:lineRule="auto"/>
        <w:ind w:firstLineChars="200" w:firstLine="480"/>
        <w:jc w:val="left"/>
        <w:rPr>
          <w:rFonts w:asciiTheme="minorEastAsia" w:eastAsiaTheme="minorEastAsia" w:hAnsiTheme="minorEastAsia"/>
          <w:bCs/>
          <w:sz w:val="24"/>
        </w:rPr>
      </w:pPr>
    </w:p>
    <w:p w:rsidR="00C46496" w:rsidRDefault="00C46496" w:rsidP="00C46496">
      <w:pPr>
        <w:spacing w:line="360" w:lineRule="auto"/>
        <w:ind w:firstLineChars="200" w:firstLine="480"/>
        <w:jc w:val="left"/>
        <w:rPr>
          <w:rFonts w:asciiTheme="minorEastAsia" w:eastAsiaTheme="minorEastAsia" w:hAnsiTheme="minorEastAsia"/>
          <w:bCs/>
          <w:sz w:val="24"/>
        </w:rPr>
      </w:pPr>
    </w:p>
    <w:p w:rsidR="00C46496" w:rsidRDefault="00C46496" w:rsidP="00C46496">
      <w:pPr>
        <w:spacing w:line="360" w:lineRule="auto"/>
        <w:ind w:firstLineChars="200" w:firstLine="480"/>
        <w:jc w:val="left"/>
        <w:rPr>
          <w:rFonts w:asciiTheme="minorEastAsia" w:eastAsiaTheme="minorEastAsia" w:hAnsiTheme="minorEastAsia"/>
          <w:bCs/>
          <w:sz w:val="24"/>
        </w:rPr>
      </w:pPr>
    </w:p>
    <w:p w:rsidR="00C46496" w:rsidRDefault="00C46496" w:rsidP="00C46496">
      <w:pPr>
        <w:spacing w:line="584" w:lineRule="exact"/>
        <w:rPr>
          <w:rFonts w:ascii="黑体" w:eastAsia="黑体" w:hAnsi="黑体"/>
          <w:b/>
          <w:bCs/>
          <w:color w:val="000000"/>
          <w:sz w:val="24"/>
        </w:rPr>
      </w:pPr>
      <w:bookmarkStart w:id="34" w:name="_Toc424301526"/>
      <w:r>
        <w:rPr>
          <w:rFonts w:ascii="黑体" w:eastAsia="黑体" w:hAnsi="黑体" w:hint="eastAsia"/>
          <w:b/>
          <w:bCs/>
          <w:color w:val="000000"/>
          <w:sz w:val="24"/>
        </w:rPr>
        <w:t>附件</w:t>
      </w:r>
    </w:p>
    <w:p w:rsidR="00C46496" w:rsidRDefault="00C46496" w:rsidP="00C46496">
      <w:pPr>
        <w:widowControl/>
        <w:spacing w:line="360" w:lineRule="auto"/>
        <w:jc w:val="center"/>
        <w:rPr>
          <w:rFonts w:ascii="方正小标宋简体" w:eastAsia="方正小标宋简体" w:hAnsi="宋体"/>
          <w:sz w:val="32"/>
          <w:szCs w:val="32"/>
        </w:rPr>
      </w:pPr>
      <w:r>
        <w:rPr>
          <w:rFonts w:ascii="方正小标宋简体" w:eastAsia="方正小标宋简体" w:hAnsi="宋体" w:hint="eastAsia"/>
          <w:sz w:val="32"/>
          <w:szCs w:val="32"/>
        </w:rPr>
        <w:t>硕士研究生奖助方案简况表（学制内）</w:t>
      </w:r>
      <w:bookmarkEnd w:id="34"/>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267"/>
        <w:gridCol w:w="850"/>
        <w:gridCol w:w="4448"/>
        <w:gridCol w:w="1706"/>
      </w:tblGrid>
      <w:tr w:rsidR="00C46496" w:rsidTr="007F330C">
        <w:trPr>
          <w:trHeight w:val="567"/>
          <w:jc w:val="center"/>
        </w:trPr>
        <w:tc>
          <w:tcPr>
            <w:tcW w:w="1824" w:type="dxa"/>
            <w:gridSpan w:val="2"/>
            <w:vAlign w:val="center"/>
          </w:tcPr>
          <w:p w:rsidR="00C46496" w:rsidRDefault="00C46496" w:rsidP="007F330C">
            <w:pPr>
              <w:jc w:val="center"/>
              <w:rPr>
                <w:rFonts w:ascii="仿宋_GB2312" w:eastAsia="仿宋_GB2312" w:hAnsi="宋体" w:cs="宋体"/>
                <w:kern w:val="0"/>
                <w:sz w:val="24"/>
              </w:rPr>
            </w:pPr>
          </w:p>
        </w:tc>
        <w:tc>
          <w:tcPr>
            <w:tcW w:w="850" w:type="dxa"/>
            <w:vAlign w:val="center"/>
          </w:tcPr>
          <w:p w:rsidR="00C46496" w:rsidRDefault="00C46496" w:rsidP="007F330C">
            <w:pPr>
              <w:jc w:val="center"/>
              <w:rPr>
                <w:rFonts w:ascii="仿宋_GB2312" w:eastAsia="仿宋_GB2312" w:hAnsi="宋体" w:cs="宋体"/>
                <w:kern w:val="0"/>
                <w:sz w:val="24"/>
              </w:rPr>
            </w:pPr>
          </w:p>
        </w:tc>
        <w:tc>
          <w:tcPr>
            <w:tcW w:w="4448" w:type="dxa"/>
            <w:vAlign w:val="center"/>
          </w:tcPr>
          <w:p w:rsidR="00C46496" w:rsidRDefault="00C46496" w:rsidP="007F330C">
            <w:pPr>
              <w:jc w:val="center"/>
              <w:rPr>
                <w:rFonts w:ascii="仿宋_GB2312" w:eastAsia="仿宋_GB2312" w:hAnsi="宋体" w:cs="宋体"/>
                <w:b/>
                <w:kern w:val="0"/>
                <w:sz w:val="24"/>
              </w:rPr>
            </w:pPr>
            <w:r>
              <w:rPr>
                <w:rFonts w:ascii="仿宋_GB2312" w:eastAsia="仿宋_GB2312" w:hAnsi="宋体" w:cs="宋体" w:hint="eastAsia"/>
                <w:b/>
                <w:kern w:val="0"/>
                <w:sz w:val="24"/>
              </w:rPr>
              <w:t>硕士</w:t>
            </w:r>
          </w:p>
        </w:tc>
        <w:tc>
          <w:tcPr>
            <w:tcW w:w="1706" w:type="dxa"/>
            <w:vAlign w:val="center"/>
          </w:tcPr>
          <w:p w:rsidR="00C46496" w:rsidRDefault="00C46496" w:rsidP="007F330C">
            <w:pPr>
              <w:jc w:val="center"/>
              <w:rPr>
                <w:rFonts w:ascii="仿宋_GB2312" w:eastAsia="仿宋_GB2312" w:hAnsi="宋体" w:cs="宋体"/>
                <w:b/>
                <w:kern w:val="0"/>
                <w:sz w:val="24"/>
              </w:rPr>
            </w:pPr>
            <w:r>
              <w:rPr>
                <w:rFonts w:ascii="仿宋_GB2312" w:eastAsia="仿宋_GB2312" w:hAnsi="宋体" w:cs="宋体" w:hint="eastAsia"/>
                <w:b/>
                <w:kern w:val="0"/>
                <w:sz w:val="24"/>
              </w:rPr>
              <w:t>备注</w:t>
            </w:r>
          </w:p>
        </w:tc>
      </w:tr>
      <w:tr w:rsidR="00C46496" w:rsidTr="007F330C">
        <w:trPr>
          <w:trHeight w:val="567"/>
          <w:jc w:val="center"/>
        </w:trPr>
        <w:tc>
          <w:tcPr>
            <w:tcW w:w="1824" w:type="dxa"/>
            <w:gridSpan w:val="2"/>
            <w:vMerge w:val="restart"/>
            <w:vAlign w:val="center"/>
          </w:tcPr>
          <w:p w:rsidR="00C46496" w:rsidRDefault="00C46496"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学业奖学金</w:t>
            </w:r>
          </w:p>
        </w:tc>
        <w:tc>
          <w:tcPr>
            <w:tcW w:w="850" w:type="dxa"/>
            <w:vAlign w:val="center"/>
          </w:tcPr>
          <w:p w:rsidR="00C46496" w:rsidRDefault="00C46496"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范围</w:t>
            </w:r>
          </w:p>
        </w:tc>
        <w:tc>
          <w:tcPr>
            <w:tcW w:w="4448" w:type="dxa"/>
            <w:vAlign w:val="center"/>
          </w:tcPr>
          <w:p w:rsidR="00C46496" w:rsidRDefault="00C46496" w:rsidP="007F330C">
            <w:pPr>
              <w:adjustRightInd w:val="0"/>
              <w:snapToGrid w:val="0"/>
              <w:jc w:val="left"/>
              <w:rPr>
                <w:rFonts w:ascii="仿宋_GB2312" w:eastAsia="仿宋_GB2312" w:hAnsi="宋体" w:cs="宋体"/>
                <w:kern w:val="0"/>
                <w:sz w:val="24"/>
              </w:rPr>
            </w:pPr>
            <w:r>
              <w:rPr>
                <w:rFonts w:ascii="仿宋_GB2312" w:eastAsia="仿宋_GB2312" w:hAnsi="宋体" w:cs="宋体" w:hint="eastAsia"/>
                <w:kern w:val="0"/>
                <w:sz w:val="24"/>
              </w:rPr>
              <w:t>非定向就业学术型和非定向就业专业学位硕士研究生，非在职少数民族高层次骨干计划硕士研究生</w:t>
            </w:r>
          </w:p>
        </w:tc>
        <w:tc>
          <w:tcPr>
            <w:tcW w:w="1706" w:type="dxa"/>
          </w:tcPr>
          <w:p w:rsidR="00C46496" w:rsidRDefault="00C46496" w:rsidP="007F330C">
            <w:pPr>
              <w:jc w:val="center"/>
              <w:rPr>
                <w:rFonts w:ascii="仿宋_GB2312" w:eastAsia="仿宋_GB2312" w:hAnsi="宋体" w:cs="宋体"/>
                <w:kern w:val="0"/>
                <w:sz w:val="24"/>
              </w:rPr>
            </w:pPr>
          </w:p>
        </w:tc>
      </w:tr>
      <w:tr w:rsidR="00C46496" w:rsidTr="007F330C">
        <w:trPr>
          <w:trHeight w:val="567"/>
          <w:jc w:val="center"/>
        </w:trPr>
        <w:tc>
          <w:tcPr>
            <w:tcW w:w="1824" w:type="dxa"/>
            <w:gridSpan w:val="2"/>
            <w:vMerge/>
            <w:vAlign w:val="center"/>
          </w:tcPr>
          <w:p w:rsidR="00C46496" w:rsidRDefault="00C46496" w:rsidP="007F330C">
            <w:pPr>
              <w:widowControl/>
              <w:jc w:val="left"/>
              <w:rPr>
                <w:rFonts w:ascii="仿宋_GB2312" w:eastAsia="仿宋_GB2312"/>
                <w:sz w:val="24"/>
              </w:rPr>
            </w:pPr>
          </w:p>
        </w:tc>
        <w:tc>
          <w:tcPr>
            <w:tcW w:w="850" w:type="dxa"/>
            <w:vAlign w:val="center"/>
          </w:tcPr>
          <w:p w:rsidR="00C46496" w:rsidRDefault="00C46496"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金额</w:t>
            </w:r>
          </w:p>
        </w:tc>
        <w:tc>
          <w:tcPr>
            <w:tcW w:w="4448" w:type="dxa"/>
            <w:vAlign w:val="center"/>
          </w:tcPr>
          <w:p w:rsidR="00C46496" w:rsidRDefault="00C46496" w:rsidP="007F330C">
            <w:pPr>
              <w:adjustRightInd w:val="0"/>
              <w:snapToGrid w:val="0"/>
              <w:rPr>
                <w:rFonts w:ascii="仿宋_GB2312" w:eastAsia="仿宋_GB2312" w:hAnsi="宋体" w:cs="宋体"/>
                <w:kern w:val="0"/>
                <w:sz w:val="24"/>
              </w:rPr>
            </w:pPr>
            <w:r>
              <w:rPr>
                <w:rFonts w:ascii="仿宋_GB2312" w:eastAsia="仿宋_GB2312" w:hAnsi="宋体" w:cs="宋体" w:hint="eastAsia"/>
                <w:kern w:val="0"/>
                <w:sz w:val="24"/>
              </w:rPr>
              <w:t>0.8万元/学年</w:t>
            </w:r>
          </w:p>
        </w:tc>
        <w:tc>
          <w:tcPr>
            <w:tcW w:w="1706" w:type="dxa"/>
          </w:tcPr>
          <w:p w:rsidR="00C46496" w:rsidRDefault="00C46496" w:rsidP="007F330C">
            <w:pPr>
              <w:jc w:val="center"/>
              <w:rPr>
                <w:rFonts w:ascii="仿宋_GB2312" w:eastAsia="仿宋_GB2312" w:hAnsi="宋体" w:cs="宋体"/>
                <w:kern w:val="0"/>
                <w:sz w:val="24"/>
              </w:rPr>
            </w:pPr>
          </w:p>
        </w:tc>
      </w:tr>
      <w:tr w:rsidR="00C46496" w:rsidTr="007F330C">
        <w:trPr>
          <w:trHeight w:val="567"/>
          <w:jc w:val="center"/>
        </w:trPr>
        <w:tc>
          <w:tcPr>
            <w:tcW w:w="1824" w:type="dxa"/>
            <w:gridSpan w:val="2"/>
            <w:vMerge/>
            <w:vAlign w:val="center"/>
          </w:tcPr>
          <w:p w:rsidR="00C46496" w:rsidRDefault="00C46496" w:rsidP="007F330C">
            <w:pPr>
              <w:widowControl/>
              <w:jc w:val="left"/>
              <w:rPr>
                <w:rFonts w:ascii="仿宋_GB2312" w:eastAsia="仿宋_GB2312"/>
                <w:sz w:val="24"/>
              </w:rPr>
            </w:pPr>
          </w:p>
        </w:tc>
        <w:tc>
          <w:tcPr>
            <w:tcW w:w="850" w:type="dxa"/>
            <w:vAlign w:val="center"/>
          </w:tcPr>
          <w:p w:rsidR="00C46496" w:rsidRDefault="00C46496"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调整</w:t>
            </w:r>
          </w:p>
        </w:tc>
        <w:tc>
          <w:tcPr>
            <w:tcW w:w="4448" w:type="dxa"/>
            <w:vAlign w:val="center"/>
          </w:tcPr>
          <w:p w:rsidR="00C46496" w:rsidRDefault="00C46496" w:rsidP="007F330C">
            <w:pPr>
              <w:adjustRightInd w:val="0"/>
              <w:snapToGrid w:val="0"/>
              <w:rPr>
                <w:rFonts w:ascii="仿宋_GB2312" w:eastAsia="仿宋_GB2312" w:hAnsi="宋体" w:cs="宋体"/>
                <w:kern w:val="0"/>
                <w:sz w:val="24"/>
              </w:rPr>
            </w:pPr>
            <w:r>
              <w:rPr>
                <w:rFonts w:ascii="仿宋_GB2312" w:eastAsia="仿宋_GB2312" w:hAnsi="宋体" w:cs="宋体" w:hint="eastAsia"/>
                <w:kern w:val="0"/>
                <w:sz w:val="24"/>
              </w:rPr>
              <w:t>每学年和中期考核后进行调整</w:t>
            </w:r>
          </w:p>
        </w:tc>
        <w:tc>
          <w:tcPr>
            <w:tcW w:w="1706" w:type="dxa"/>
          </w:tcPr>
          <w:p w:rsidR="00C46496" w:rsidRDefault="00C46496" w:rsidP="007F330C">
            <w:pPr>
              <w:jc w:val="center"/>
              <w:rPr>
                <w:rFonts w:ascii="仿宋_GB2312" w:eastAsia="仿宋_GB2312" w:hAnsi="宋体" w:cs="宋体"/>
                <w:kern w:val="0"/>
                <w:sz w:val="24"/>
              </w:rPr>
            </w:pPr>
          </w:p>
        </w:tc>
      </w:tr>
      <w:tr w:rsidR="00C46496" w:rsidTr="007F330C">
        <w:trPr>
          <w:trHeight w:val="567"/>
          <w:jc w:val="center"/>
        </w:trPr>
        <w:tc>
          <w:tcPr>
            <w:tcW w:w="557" w:type="dxa"/>
            <w:vMerge w:val="restart"/>
            <w:vAlign w:val="center"/>
          </w:tcPr>
          <w:p w:rsidR="00C46496" w:rsidRDefault="00C46496"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助</w:t>
            </w:r>
          </w:p>
          <w:p w:rsidR="00C46496" w:rsidRDefault="00C46496"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学</w:t>
            </w:r>
          </w:p>
          <w:p w:rsidR="00C46496" w:rsidRDefault="00C46496"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金</w:t>
            </w:r>
          </w:p>
        </w:tc>
        <w:tc>
          <w:tcPr>
            <w:tcW w:w="1267" w:type="dxa"/>
            <w:vMerge w:val="restart"/>
            <w:vAlign w:val="center"/>
          </w:tcPr>
          <w:p w:rsidR="00C46496" w:rsidRDefault="00C46496" w:rsidP="007F330C">
            <w:pPr>
              <w:widowControl/>
              <w:adjustRightInd w:val="0"/>
              <w:jc w:val="center"/>
              <w:rPr>
                <w:rFonts w:ascii="仿宋_GB2312" w:eastAsia="仿宋_GB2312"/>
                <w:sz w:val="24"/>
              </w:rPr>
            </w:pPr>
            <w:r>
              <w:rPr>
                <w:rFonts w:ascii="仿宋_GB2312" w:eastAsia="仿宋_GB2312" w:hint="eastAsia"/>
                <w:kern w:val="0"/>
                <w:sz w:val="24"/>
              </w:rPr>
              <w:t>专业学位硕士研究生</w:t>
            </w:r>
          </w:p>
        </w:tc>
        <w:tc>
          <w:tcPr>
            <w:tcW w:w="850" w:type="dxa"/>
            <w:vAlign w:val="center"/>
          </w:tcPr>
          <w:p w:rsidR="00C46496" w:rsidRDefault="00C46496"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范围</w:t>
            </w:r>
          </w:p>
        </w:tc>
        <w:tc>
          <w:tcPr>
            <w:tcW w:w="4448" w:type="dxa"/>
            <w:vAlign w:val="center"/>
          </w:tcPr>
          <w:p w:rsidR="00C46496" w:rsidRDefault="00C46496" w:rsidP="007F330C">
            <w:pPr>
              <w:adjustRightInd w:val="0"/>
              <w:snapToGrid w:val="0"/>
              <w:jc w:val="left"/>
              <w:rPr>
                <w:rFonts w:ascii="仿宋_GB2312" w:eastAsia="仿宋_GB2312" w:hAnsi="宋体" w:cs="宋体"/>
                <w:kern w:val="0"/>
                <w:sz w:val="24"/>
              </w:rPr>
            </w:pPr>
            <w:r>
              <w:rPr>
                <w:rFonts w:ascii="仿宋_GB2312" w:eastAsia="仿宋_GB2312" w:hAnsi="宋体" w:cs="宋体" w:hint="eastAsia"/>
                <w:kern w:val="0"/>
                <w:sz w:val="24"/>
              </w:rPr>
              <w:t>非定向专业学位硕士研究生</w:t>
            </w:r>
          </w:p>
        </w:tc>
        <w:tc>
          <w:tcPr>
            <w:tcW w:w="1706" w:type="dxa"/>
          </w:tcPr>
          <w:p w:rsidR="00C46496" w:rsidRDefault="00C46496" w:rsidP="007F330C">
            <w:pPr>
              <w:jc w:val="center"/>
              <w:rPr>
                <w:rFonts w:ascii="仿宋_GB2312" w:eastAsia="仿宋_GB2312" w:hAnsi="宋体" w:cs="宋体"/>
                <w:kern w:val="0"/>
                <w:sz w:val="24"/>
              </w:rPr>
            </w:pPr>
          </w:p>
        </w:tc>
      </w:tr>
      <w:tr w:rsidR="00C46496" w:rsidTr="007F330C">
        <w:trPr>
          <w:trHeight w:val="567"/>
          <w:jc w:val="center"/>
        </w:trPr>
        <w:tc>
          <w:tcPr>
            <w:tcW w:w="557" w:type="dxa"/>
            <w:vMerge/>
            <w:vAlign w:val="center"/>
          </w:tcPr>
          <w:p w:rsidR="00C46496" w:rsidRDefault="00C46496" w:rsidP="007F330C">
            <w:pPr>
              <w:jc w:val="left"/>
              <w:rPr>
                <w:rFonts w:ascii="仿宋_GB2312" w:eastAsia="仿宋_GB2312"/>
                <w:sz w:val="24"/>
              </w:rPr>
            </w:pPr>
          </w:p>
        </w:tc>
        <w:tc>
          <w:tcPr>
            <w:tcW w:w="1267" w:type="dxa"/>
            <w:vMerge/>
            <w:vAlign w:val="center"/>
          </w:tcPr>
          <w:p w:rsidR="00C46496" w:rsidRDefault="00C46496" w:rsidP="007F330C">
            <w:pPr>
              <w:widowControl/>
              <w:adjustRightInd w:val="0"/>
              <w:jc w:val="center"/>
              <w:rPr>
                <w:rFonts w:ascii="仿宋_GB2312" w:eastAsia="仿宋_GB2312"/>
                <w:sz w:val="24"/>
              </w:rPr>
            </w:pPr>
          </w:p>
        </w:tc>
        <w:tc>
          <w:tcPr>
            <w:tcW w:w="850" w:type="dxa"/>
            <w:vAlign w:val="center"/>
          </w:tcPr>
          <w:p w:rsidR="00C46496" w:rsidRDefault="00C46496"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金额</w:t>
            </w:r>
          </w:p>
        </w:tc>
        <w:tc>
          <w:tcPr>
            <w:tcW w:w="4448" w:type="dxa"/>
            <w:vAlign w:val="center"/>
          </w:tcPr>
          <w:p w:rsidR="00C46496" w:rsidRDefault="00C46496" w:rsidP="007F330C">
            <w:pPr>
              <w:rPr>
                <w:rFonts w:ascii="仿宋_GB2312" w:eastAsia="仿宋_GB2312" w:hAnsi="宋体" w:cs="宋体"/>
                <w:kern w:val="0"/>
                <w:sz w:val="24"/>
              </w:rPr>
            </w:pPr>
            <w:r>
              <w:rPr>
                <w:rFonts w:ascii="仿宋_GB2312" w:eastAsia="仿宋_GB2312" w:hAnsi="宋体" w:cs="宋体" w:hint="eastAsia"/>
                <w:kern w:val="0"/>
                <w:sz w:val="24"/>
              </w:rPr>
              <w:t>600元/月</w:t>
            </w:r>
          </w:p>
        </w:tc>
        <w:tc>
          <w:tcPr>
            <w:tcW w:w="1706" w:type="dxa"/>
            <w:vAlign w:val="center"/>
          </w:tcPr>
          <w:p w:rsidR="00C46496" w:rsidRDefault="00C46496" w:rsidP="007F330C">
            <w:pPr>
              <w:jc w:val="center"/>
              <w:rPr>
                <w:rFonts w:ascii="仿宋_GB2312" w:eastAsia="仿宋_GB2312" w:hAnsi="宋体" w:cs="宋体"/>
                <w:kern w:val="0"/>
                <w:sz w:val="24"/>
              </w:rPr>
            </w:pPr>
            <w:r>
              <w:rPr>
                <w:rFonts w:ascii="仿宋_GB2312" w:eastAsia="仿宋_GB2312" w:hAnsi="宋体" w:cs="宋体" w:hint="eastAsia"/>
                <w:kern w:val="0"/>
                <w:sz w:val="24"/>
              </w:rPr>
              <w:t>以十个月计</w:t>
            </w:r>
          </w:p>
        </w:tc>
      </w:tr>
      <w:tr w:rsidR="00C46496" w:rsidTr="007F330C">
        <w:trPr>
          <w:trHeight w:val="567"/>
          <w:jc w:val="center"/>
        </w:trPr>
        <w:tc>
          <w:tcPr>
            <w:tcW w:w="557" w:type="dxa"/>
            <w:vMerge/>
            <w:vAlign w:val="center"/>
          </w:tcPr>
          <w:p w:rsidR="00C46496" w:rsidRDefault="00C46496" w:rsidP="007F330C">
            <w:pPr>
              <w:widowControl/>
              <w:jc w:val="left"/>
              <w:rPr>
                <w:rFonts w:ascii="仿宋_GB2312" w:eastAsia="仿宋_GB2312"/>
                <w:sz w:val="24"/>
              </w:rPr>
            </w:pPr>
          </w:p>
        </w:tc>
        <w:tc>
          <w:tcPr>
            <w:tcW w:w="1267" w:type="dxa"/>
            <w:vMerge w:val="restart"/>
            <w:vAlign w:val="center"/>
          </w:tcPr>
          <w:p w:rsidR="00C46496" w:rsidRDefault="00C46496" w:rsidP="007F330C">
            <w:pPr>
              <w:widowControl/>
              <w:adjustRightInd w:val="0"/>
              <w:jc w:val="center"/>
              <w:rPr>
                <w:rFonts w:ascii="仿宋_GB2312" w:eastAsia="仿宋_GB2312"/>
                <w:sz w:val="24"/>
              </w:rPr>
            </w:pPr>
            <w:r>
              <w:rPr>
                <w:rFonts w:ascii="仿宋_GB2312" w:eastAsia="仿宋_GB2312" w:hint="eastAsia"/>
                <w:kern w:val="0"/>
                <w:sz w:val="24"/>
              </w:rPr>
              <w:t>学术型硕士研究生</w:t>
            </w:r>
          </w:p>
        </w:tc>
        <w:tc>
          <w:tcPr>
            <w:tcW w:w="850" w:type="dxa"/>
            <w:vAlign w:val="center"/>
          </w:tcPr>
          <w:p w:rsidR="00C46496" w:rsidRDefault="00C46496"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范围</w:t>
            </w:r>
          </w:p>
        </w:tc>
        <w:tc>
          <w:tcPr>
            <w:tcW w:w="4448" w:type="dxa"/>
            <w:vAlign w:val="center"/>
          </w:tcPr>
          <w:p w:rsidR="00C46496" w:rsidRDefault="00C46496" w:rsidP="007F330C">
            <w:pPr>
              <w:jc w:val="left"/>
              <w:rPr>
                <w:rFonts w:ascii="仿宋_GB2312" w:eastAsia="仿宋_GB2312" w:hAnsi="宋体" w:cs="宋体"/>
                <w:kern w:val="0"/>
                <w:sz w:val="24"/>
              </w:rPr>
            </w:pPr>
            <w:r>
              <w:rPr>
                <w:rFonts w:ascii="仿宋_GB2312" w:eastAsia="仿宋_GB2312" w:hAnsi="宋体" w:cs="宋体" w:hint="eastAsia"/>
                <w:kern w:val="0"/>
                <w:sz w:val="24"/>
              </w:rPr>
              <w:t>非定向学术型硕士研究生</w:t>
            </w:r>
          </w:p>
        </w:tc>
        <w:tc>
          <w:tcPr>
            <w:tcW w:w="1706" w:type="dxa"/>
            <w:vAlign w:val="center"/>
          </w:tcPr>
          <w:p w:rsidR="00C46496" w:rsidRDefault="00C46496" w:rsidP="007F330C">
            <w:pPr>
              <w:jc w:val="center"/>
              <w:rPr>
                <w:rFonts w:ascii="仿宋_GB2312" w:eastAsia="仿宋_GB2312" w:hAnsi="宋体" w:cs="宋体"/>
                <w:kern w:val="0"/>
                <w:sz w:val="24"/>
              </w:rPr>
            </w:pPr>
          </w:p>
        </w:tc>
      </w:tr>
      <w:tr w:rsidR="00C46496" w:rsidTr="007F330C">
        <w:trPr>
          <w:trHeight w:val="567"/>
          <w:jc w:val="center"/>
        </w:trPr>
        <w:tc>
          <w:tcPr>
            <w:tcW w:w="557" w:type="dxa"/>
            <w:vMerge/>
            <w:vAlign w:val="center"/>
          </w:tcPr>
          <w:p w:rsidR="00C46496" w:rsidRDefault="00C46496" w:rsidP="007F330C">
            <w:pPr>
              <w:widowControl/>
              <w:jc w:val="left"/>
              <w:rPr>
                <w:rFonts w:ascii="仿宋_GB2312" w:eastAsia="仿宋_GB2312"/>
                <w:sz w:val="24"/>
              </w:rPr>
            </w:pPr>
          </w:p>
        </w:tc>
        <w:tc>
          <w:tcPr>
            <w:tcW w:w="1267" w:type="dxa"/>
            <w:vMerge/>
            <w:vAlign w:val="center"/>
          </w:tcPr>
          <w:p w:rsidR="00C46496" w:rsidRDefault="00C46496" w:rsidP="007F330C">
            <w:pPr>
              <w:widowControl/>
              <w:adjustRightInd w:val="0"/>
              <w:jc w:val="center"/>
              <w:rPr>
                <w:rFonts w:ascii="仿宋_GB2312" w:eastAsia="仿宋_GB2312"/>
                <w:sz w:val="24"/>
              </w:rPr>
            </w:pPr>
          </w:p>
        </w:tc>
        <w:tc>
          <w:tcPr>
            <w:tcW w:w="850" w:type="dxa"/>
            <w:vAlign w:val="center"/>
          </w:tcPr>
          <w:p w:rsidR="00C46496" w:rsidRDefault="00C46496"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金额</w:t>
            </w:r>
          </w:p>
        </w:tc>
        <w:tc>
          <w:tcPr>
            <w:tcW w:w="4448" w:type="dxa"/>
            <w:vAlign w:val="center"/>
          </w:tcPr>
          <w:p w:rsidR="00C46496" w:rsidRDefault="00C46496" w:rsidP="007F330C">
            <w:pPr>
              <w:jc w:val="left"/>
              <w:rPr>
                <w:rFonts w:ascii="仿宋_GB2312" w:eastAsia="仿宋_GB2312" w:hAnsi="宋体" w:cs="宋体"/>
                <w:kern w:val="0"/>
                <w:sz w:val="24"/>
              </w:rPr>
            </w:pPr>
            <w:r>
              <w:rPr>
                <w:rFonts w:ascii="仿宋_GB2312" w:eastAsia="仿宋_GB2312" w:hAnsi="宋体" w:cs="宋体" w:hint="eastAsia"/>
                <w:kern w:val="0"/>
                <w:sz w:val="24"/>
              </w:rPr>
              <w:t>（1）第一年800元/月</w:t>
            </w:r>
          </w:p>
          <w:p w:rsidR="00C46496" w:rsidRDefault="00C46496" w:rsidP="007F330C">
            <w:pPr>
              <w:jc w:val="left"/>
              <w:rPr>
                <w:rFonts w:ascii="仿宋_GB2312" w:eastAsia="仿宋_GB2312" w:hAnsi="宋体" w:cs="宋体"/>
                <w:kern w:val="0"/>
                <w:sz w:val="24"/>
              </w:rPr>
            </w:pPr>
            <w:r>
              <w:rPr>
                <w:rFonts w:ascii="仿宋_GB2312" w:eastAsia="仿宋_GB2312" w:hAnsi="宋体" w:cs="宋体" w:hint="eastAsia"/>
                <w:kern w:val="0"/>
                <w:sz w:val="24"/>
              </w:rPr>
              <w:t>（2）第二、三年1000元/月（其中导师支付200元/月）</w:t>
            </w:r>
          </w:p>
        </w:tc>
        <w:tc>
          <w:tcPr>
            <w:tcW w:w="1706" w:type="dxa"/>
            <w:vAlign w:val="center"/>
          </w:tcPr>
          <w:p w:rsidR="00C46496" w:rsidRDefault="00C46496" w:rsidP="007F330C">
            <w:pPr>
              <w:jc w:val="center"/>
              <w:rPr>
                <w:rFonts w:ascii="仿宋_GB2312" w:eastAsia="仿宋_GB2312" w:hAnsi="宋体" w:cs="宋体"/>
                <w:kern w:val="0"/>
                <w:sz w:val="24"/>
              </w:rPr>
            </w:pPr>
            <w:r>
              <w:rPr>
                <w:rFonts w:ascii="仿宋_GB2312" w:eastAsia="仿宋_GB2312" w:hAnsi="宋体" w:cs="宋体" w:hint="eastAsia"/>
                <w:kern w:val="0"/>
                <w:sz w:val="24"/>
              </w:rPr>
              <w:t>以十个月计</w:t>
            </w:r>
          </w:p>
        </w:tc>
      </w:tr>
      <w:tr w:rsidR="00C46496" w:rsidTr="007F330C">
        <w:trPr>
          <w:trHeight w:val="567"/>
          <w:jc w:val="center"/>
        </w:trPr>
        <w:tc>
          <w:tcPr>
            <w:tcW w:w="557" w:type="dxa"/>
            <w:vMerge/>
            <w:vAlign w:val="center"/>
          </w:tcPr>
          <w:p w:rsidR="00C46496" w:rsidRDefault="00C46496" w:rsidP="007F330C">
            <w:pPr>
              <w:jc w:val="center"/>
              <w:rPr>
                <w:rFonts w:ascii="仿宋_GB2312" w:eastAsia="仿宋_GB2312" w:hAnsi="宋体" w:cs="宋体"/>
                <w:kern w:val="0"/>
                <w:sz w:val="24"/>
              </w:rPr>
            </w:pPr>
          </w:p>
        </w:tc>
        <w:tc>
          <w:tcPr>
            <w:tcW w:w="1267" w:type="dxa"/>
            <w:vMerge w:val="restart"/>
            <w:vAlign w:val="center"/>
          </w:tcPr>
          <w:p w:rsidR="00C46496" w:rsidRDefault="00C46496"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少高计划硕士研究生</w:t>
            </w:r>
          </w:p>
        </w:tc>
        <w:tc>
          <w:tcPr>
            <w:tcW w:w="850" w:type="dxa"/>
            <w:vAlign w:val="center"/>
          </w:tcPr>
          <w:p w:rsidR="00C46496" w:rsidRDefault="00C46496"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范围</w:t>
            </w:r>
          </w:p>
        </w:tc>
        <w:tc>
          <w:tcPr>
            <w:tcW w:w="4448" w:type="dxa"/>
            <w:vAlign w:val="center"/>
          </w:tcPr>
          <w:p w:rsidR="00C46496" w:rsidRDefault="00C46496" w:rsidP="007F330C">
            <w:pPr>
              <w:rPr>
                <w:rFonts w:ascii="仿宋_GB2312" w:eastAsia="仿宋_GB2312" w:hAnsi="宋体" w:cs="宋体"/>
                <w:kern w:val="0"/>
                <w:sz w:val="24"/>
              </w:rPr>
            </w:pPr>
            <w:r>
              <w:rPr>
                <w:rFonts w:ascii="仿宋_GB2312" w:eastAsia="仿宋_GB2312" w:hAnsi="宋体" w:cs="宋体" w:hint="eastAsia"/>
                <w:kern w:val="0"/>
                <w:sz w:val="24"/>
              </w:rPr>
              <w:t>少高计划硕士研究生</w:t>
            </w:r>
          </w:p>
        </w:tc>
        <w:tc>
          <w:tcPr>
            <w:tcW w:w="1706" w:type="dxa"/>
            <w:vAlign w:val="center"/>
          </w:tcPr>
          <w:p w:rsidR="00C46496" w:rsidRDefault="00C46496" w:rsidP="007F330C">
            <w:pPr>
              <w:jc w:val="center"/>
              <w:rPr>
                <w:rFonts w:ascii="仿宋_GB2312" w:eastAsia="仿宋_GB2312" w:hAnsi="宋体" w:cs="宋体"/>
                <w:kern w:val="0"/>
                <w:sz w:val="24"/>
              </w:rPr>
            </w:pPr>
          </w:p>
        </w:tc>
      </w:tr>
      <w:tr w:rsidR="00C46496" w:rsidTr="007F330C">
        <w:trPr>
          <w:trHeight w:val="567"/>
          <w:jc w:val="center"/>
        </w:trPr>
        <w:tc>
          <w:tcPr>
            <w:tcW w:w="557" w:type="dxa"/>
            <w:vMerge/>
            <w:vAlign w:val="center"/>
          </w:tcPr>
          <w:p w:rsidR="00C46496" w:rsidRDefault="00C46496" w:rsidP="007F330C">
            <w:pPr>
              <w:jc w:val="center"/>
              <w:rPr>
                <w:rFonts w:ascii="仿宋_GB2312" w:eastAsia="仿宋_GB2312" w:hAnsi="宋体" w:cs="宋体"/>
                <w:kern w:val="0"/>
                <w:sz w:val="24"/>
              </w:rPr>
            </w:pPr>
          </w:p>
        </w:tc>
        <w:tc>
          <w:tcPr>
            <w:tcW w:w="1267" w:type="dxa"/>
            <w:vMerge/>
            <w:vAlign w:val="center"/>
          </w:tcPr>
          <w:p w:rsidR="00C46496" w:rsidRDefault="00C46496" w:rsidP="007F330C">
            <w:pPr>
              <w:adjustRightInd w:val="0"/>
              <w:snapToGrid w:val="0"/>
              <w:jc w:val="center"/>
              <w:rPr>
                <w:rFonts w:ascii="仿宋_GB2312" w:eastAsia="仿宋_GB2312" w:hAnsi="宋体" w:cs="宋体"/>
                <w:kern w:val="0"/>
                <w:sz w:val="24"/>
              </w:rPr>
            </w:pPr>
          </w:p>
        </w:tc>
        <w:tc>
          <w:tcPr>
            <w:tcW w:w="850" w:type="dxa"/>
            <w:vAlign w:val="center"/>
          </w:tcPr>
          <w:p w:rsidR="00C46496" w:rsidRDefault="00C46496"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金额</w:t>
            </w:r>
          </w:p>
        </w:tc>
        <w:tc>
          <w:tcPr>
            <w:tcW w:w="4448" w:type="dxa"/>
            <w:vAlign w:val="center"/>
          </w:tcPr>
          <w:p w:rsidR="00C46496" w:rsidRDefault="00C46496" w:rsidP="007F330C">
            <w:pPr>
              <w:rPr>
                <w:rFonts w:ascii="仿宋_GB2312" w:eastAsia="仿宋_GB2312" w:hAnsi="宋体" w:cs="宋体"/>
                <w:kern w:val="0"/>
                <w:sz w:val="24"/>
              </w:rPr>
            </w:pPr>
            <w:r>
              <w:rPr>
                <w:rFonts w:ascii="仿宋_GB2312" w:eastAsia="仿宋_GB2312" w:hAnsi="宋体" w:cs="宋体" w:hint="eastAsia"/>
                <w:kern w:val="0"/>
                <w:sz w:val="24"/>
              </w:rPr>
              <w:t>600元/月</w:t>
            </w:r>
          </w:p>
        </w:tc>
        <w:tc>
          <w:tcPr>
            <w:tcW w:w="1706" w:type="dxa"/>
            <w:vAlign w:val="center"/>
          </w:tcPr>
          <w:p w:rsidR="00C46496" w:rsidRDefault="00C46496" w:rsidP="007F330C">
            <w:pPr>
              <w:jc w:val="center"/>
              <w:rPr>
                <w:rFonts w:ascii="仿宋_GB2312" w:eastAsia="仿宋_GB2312" w:hAnsi="宋体" w:cs="宋体"/>
                <w:kern w:val="0"/>
                <w:sz w:val="24"/>
              </w:rPr>
            </w:pPr>
            <w:r>
              <w:rPr>
                <w:rFonts w:ascii="仿宋_GB2312" w:eastAsia="仿宋_GB2312" w:hAnsi="宋体" w:cs="宋体" w:hint="eastAsia"/>
                <w:kern w:val="0"/>
                <w:sz w:val="24"/>
              </w:rPr>
              <w:t>以十个月计</w:t>
            </w:r>
          </w:p>
        </w:tc>
      </w:tr>
      <w:tr w:rsidR="00C46496" w:rsidTr="007F330C">
        <w:trPr>
          <w:trHeight w:val="567"/>
          <w:jc w:val="center"/>
        </w:trPr>
        <w:tc>
          <w:tcPr>
            <w:tcW w:w="1824" w:type="dxa"/>
            <w:gridSpan w:val="2"/>
            <w:vMerge w:val="restart"/>
            <w:vAlign w:val="center"/>
          </w:tcPr>
          <w:p w:rsidR="00C46496" w:rsidRDefault="00C46496" w:rsidP="007F330C">
            <w:pPr>
              <w:jc w:val="center"/>
              <w:rPr>
                <w:rFonts w:ascii="仿宋_GB2312" w:eastAsia="仿宋_GB2312" w:hAnsi="宋体" w:cs="宋体"/>
                <w:kern w:val="0"/>
                <w:sz w:val="24"/>
              </w:rPr>
            </w:pPr>
            <w:r>
              <w:rPr>
                <w:rFonts w:ascii="仿宋_GB2312" w:eastAsia="仿宋_GB2312" w:hAnsi="宋体" w:cs="宋体" w:hint="eastAsia"/>
                <w:kern w:val="0"/>
                <w:sz w:val="24"/>
              </w:rPr>
              <w:t>助教</w:t>
            </w:r>
          </w:p>
        </w:tc>
        <w:tc>
          <w:tcPr>
            <w:tcW w:w="850" w:type="dxa"/>
            <w:vAlign w:val="center"/>
          </w:tcPr>
          <w:p w:rsidR="00C46496" w:rsidRDefault="00C46496"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范围</w:t>
            </w:r>
          </w:p>
        </w:tc>
        <w:tc>
          <w:tcPr>
            <w:tcW w:w="4448" w:type="dxa"/>
            <w:vAlign w:val="center"/>
          </w:tcPr>
          <w:p w:rsidR="00C46496" w:rsidRDefault="00C46496" w:rsidP="007F330C">
            <w:pPr>
              <w:jc w:val="left"/>
              <w:rPr>
                <w:rFonts w:ascii="仿宋_GB2312" w:eastAsia="仿宋_GB2312" w:hAnsi="宋体" w:cs="宋体"/>
                <w:kern w:val="0"/>
                <w:sz w:val="24"/>
              </w:rPr>
            </w:pPr>
            <w:r>
              <w:rPr>
                <w:rFonts w:ascii="仿宋_GB2312" w:eastAsia="仿宋_GB2312" w:hAnsi="宋体" w:cs="宋体" w:hint="eastAsia"/>
                <w:kern w:val="0"/>
                <w:sz w:val="24"/>
              </w:rPr>
              <w:t>非定向学术型、非定向专业学位硕士研究生和非在职少高计划硕士研究生可申请</w:t>
            </w:r>
          </w:p>
        </w:tc>
        <w:tc>
          <w:tcPr>
            <w:tcW w:w="1706" w:type="dxa"/>
            <w:vAlign w:val="center"/>
          </w:tcPr>
          <w:p w:rsidR="00C46496" w:rsidRDefault="00C46496" w:rsidP="007F330C">
            <w:pPr>
              <w:jc w:val="center"/>
              <w:rPr>
                <w:rFonts w:ascii="仿宋_GB2312" w:eastAsia="仿宋_GB2312" w:hAnsi="宋体" w:cs="宋体"/>
                <w:kern w:val="0"/>
                <w:sz w:val="24"/>
              </w:rPr>
            </w:pPr>
          </w:p>
        </w:tc>
      </w:tr>
      <w:tr w:rsidR="00C46496" w:rsidTr="007F330C">
        <w:trPr>
          <w:trHeight w:val="567"/>
          <w:jc w:val="center"/>
        </w:trPr>
        <w:tc>
          <w:tcPr>
            <w:tcW w:w="1824" w:type="dxa"/>
            <w:gridSpan w:val="2"/>
            <w:vMerge/>
            <w:vAlign w:val="center"/>
          </w:tcPr>
          <w:p w:rsidR="00C46496" w:rsidRDefault="00C46496" w:rsidP="007F330C">
            <w:pPr>
              <w:widowControl/>
              <w:jc w:val="left"/>
              <w:rPr>
                <w:rFonts w:ascii="仿宋_GB2312" w:eastAsia="仿宋_GB2312"/>
                <w:sz w:val="24"/>
              </w:rPr>
            </w:pPr>
          </w:p>
        </w:tc>
        <w:tc>
          <w:tcPr>
            <w:tcW w:w="850" w:type="dxa"/>
            <w:vAlign w:val="center"/>
          </w:tcPr>
          <w:p w:rsidR="00C46496" w:rsidRDefault="00C46496"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金额</w:t>
            </w:r>
          </w:p>
        </w:tc>
        <w:tc>
          <w:tcPr>
            <w:tcW w:w="4448" w:type="dxa"/>
            <w:vAlign w:val="center"/>
          </w:tcPr>
          <w:p w:rsidR="00C46496" w:rsidRDefault="00C46496" w:rsidP="007F330C">
            <w:pPr>
              <w:rPr>
                <w:rFonts w:ascii="仿宋_GB2312" w:eastAsia="仿宋_GB2312" w:hAnsi="宋体" w:cs="宋体"/>
                <w:kern w:val="0"/>
                <w:sz w:val="24"/>
              </w:rPr>
            </w:pPr>
            <w:r>
              <w:rPr>
                <w:rFonts w:ascii="仿宋_GB2312" w:eastAsia="仿宋_GB2312" w:hAnsi="宋体" w:cs="宋体" w:hint="eastAsia"/>
                <w:kern w:val="0"/>
                <w:sz w:val="24"/>
              </w:rPr>
              <w:t>800元/月</w:t>
            </w:r>
          </w:p>
        </w:tc>
        <w:tc>
          <w:tcPr>
            <w:tcW w:w="1706" w:type="dxa"/>
            <w:vAlign w:val="center"/>
          </w:tcPr>
          <w:p w:rsidR="00C46496" w:rsidRDefault="00C46496" w:rsidP="007F330C">
            <w:pPr>
              <w:jc w:val="center"/>
              <w:rPr>
                <w:rFonts w:ascii="仿宋_GB2312" w:eastAsia="仿宋_GB2312" w:hAnsi="宋体" w:cs="宋体"/>
                <w:kern w:val="0"/>
                <w:sz w:val="24"/>
              </w:rPr>
            </w:pPr>
            <w:r>
              <w:rPr>
                <w:rFonts w:ascii="仿宋_GB2312" w:eastAsia="仿宋_GB2312" w:hAnsi="宋体" w:cs="宋体" w:hint="eastAsia"/>
                <w:kern w:val="0"/>
                <w:sz w:val="24"/>
              </w:rPr>
              <w:t>以十个月计</w:t>
            </w:r>
          </w:p>
        </w:tc>
      </w:tr>
      <w:tr w:rsidR="00C46496" w:rsidTr="007F330C">
        <w:trPr>
          <w:trHeight w:val="567"/>
          <w:jc w:val="center"/>
        </w:trPr>
        <w:tc>
          <w:tcPr>
            <w:tcW w:w="1824" w:type="dxa"/>
            <w:gridSpan w:val="2"/>
            <w:vMerge w:val="restart"/>
            <w:vAlign w:val="center"/>
          </w:tcPr>
          <w:p w:rsidR="00C46496" w:rsidRDefault="00C46496" w:rsidP="007F330C">
            <w:pPr>
              <w:jc w:val="center"/>
              <w:rPr>
                <w:rFonts w:ascii="仿宋_GB2312" w:eastAsia="仿宋_GB2312" w:hAnsi="宋体" w:cs="宋体"/>
                <w:kern w:val="0"/>
                <w:sz w:val="24"/>
              </w:rPr>
            </w:pPr>
            <w:r>
              <w:rPr>
                <w:rFonts w:ascii="仿宋_GB2312" w:eastAsia="仿宋_GB2312" w:hAnsi="宋体" w:cs="宋体" w:hint="eastAsia"/>
                <w:kern w:val="0"/>
                <w:sz w:val="24"/>
              </w:rPr>
              <w:t>助管</w:t>
            </w:r>
          </w:p>
        </w:tc>
        <w:tc>
          <w:tcPr>
            <w:tcW w:w="850" w:type="dxa"/>
            <w:vAlign w:val="center"/>
          </w:tcPr>
          <w:p w:rsidR="00C46496" w:rsidRDefault="00C46496"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范围</w:t>
            </w:r>
          </w:p>
        </w:tc>
        <w:tc>
          <w:tcPr>
            <w:tcW w:w="4448" w:type="dxa"/>
            <w:vAlign w:val="center"/>
          </w:tcPr>
          <w:p w:rsidR="00C46496" w:rsidRDefault="00C46496" w:rsidP="007F330C">
            <w:pPr>
              <w:jc w:val="left"/>
              <w:rPr>
                <w:rFonts w:ascii="仿宋_GB2312" w:eastAsia="仿宋_GB2312" w:hAnsi="宋体" w:cs="宋体"/>
                <w:kern w:val="0"/>
                <w:sz w:val="24"/>
              </w:rPr>
            </w:pPr>
            <w:r>
              <w:rPr>
                <w:rFonts w:ascii="仿宋_GB2312" w:eastAsia="仿宋_GB2312" w:hAnsi="宋体" w:cs="宋体" w:hint="eastAsia"/>
                <w:kern w:val="0"/>
                <w:sz w:val="24"/>
              </w:rPr>
              <w:t>非定向学术型、非定向专业学位硕士研究生和非在职少高计划硕士研究生可申请</w:t>
            </w:r>
          </w:p>
        </w:tc>
        <w:tc>
          <w:tcPr>
            <w:tcW w:w="1706" w:type="dxa"/>
            <w:vAlign w:val="center"/>
          </w:tcPr>
          <w:p w:rsidR="00C46496" w:rsidRDefault="00C46496" w:rsidP="007F330C">
            <w:pPr>
              <w:jc w:val="center"/>
              <w:rPr>
                <w:rFonts w:ascii="仿宋_GB2312" w:eastAsia="仿宋_GB2312" w:hAnsi="宋体" w:cs="宋体"/>
                <w:kern w:val="0"/>
                <w:sz w:val="24"/>
              </w:rPr>
            </w:pPr>
          </w:p>
        </w:tc>
      </w:tr>
      <w:tr w:rsidR="00C46496" w:rsidTr="007F330C">
        <w:trPr>
          <w:trHeight w:val="567"/>
          <w:jc w:val="center"/>
        </w:trPr>
        <w:tc>
          <w:tcPr>
            <w:tcW w:w="1824" w:type="dxa"/>
            <w:gridSpan w:val="2"/>
            <w:vMerge/>
            <w:vAlign w:val="center"/>
          </w:tcPr>
          <w:p w:rsidR="00C46496" w:rsidRDefault="00C46496" w:rsidP="007F330C">
            <w:pPr>
              <w:widowControl/>
              <w:jc w:val="left"/>
              <w:rPr>
                <w:rFonts w:ascii="仿宋_GB2312" w:eastAsia="仿宋_GB2312"/>
                <w:sz w:val="24"/>
              </w:rPr>
            </w:pPr>
          </w:p>
        </w:tc>
        <w:tc>
          <w:tcPr>
            <w:tcW w:w="850" w:type="dxa"/>
            <w:vAlign w:val="center"/>
          </w:tcPr>
          <w:p w:rsidR="00C46496" w:rsidRDefault="00C46496"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金额</w:t>
            </w:r>
          </w:p>
        </w:tc>
        <w:tc>
          <w:tcPr>
            <w:tcW w:w="4448" w:type="dxa"/>
            <w:vAlign w:val="center"/>
          </w:tcPr>
          <w:p w:rsidR="00C46496" w:rsidRDefault="00C46496" w:rsidP="007F330C">
            <w:pPr>
              <w:rPr>
                <w:rFonts w:ascii="仿宋_GB2312" w:eastAsia="仿宋_GB2312" w:hAnsi="宋体" w:cs="宋体"/>
                <w:kern w:val="0"/>
                <w:sz w:val="24"/>
              </w:rPr>
            </w:pPr>
            <w:r>
              <w:rPr>
                <w:rFonts w:ascii="仿宋_GB2312" w:eastAsia="仿宋_GB2312" w:hAnsi="宋体" w:cs="宋体" w:hint="eastAsia"/>
                <w:kern w:val="0"/>
                <w:sz w:val="24"/>
              </w:rPr>
              <w:t>800元/月</w:t>
            </w:r>
          </w:p>
        </w:tc>
        <w:tc>
          <w:tcPr>
            <w:tcW w:w="1706" w:type="dxa"/>
            <w:vAlign w:val="center"/>
          </w:tcPr>
          <w:p w:rsidR="00C46496" w:rsidRDefault="00C46496" w:rsidP="007F330C">
            <w:pPr>
              <w:jc w:val="center"/>
              <w:rPr>
                <w:rFonts w:ascii="仿宋_GB2312" w:eastAsia="仿宋_GB2312" w:hAnsi="宋体" w:cs="宋体"/>
                <w:kern w:val="0"/>
                <w:sz w:val="24"/>
              </w:rPr>
            </w:pPr>
            <w:r>
              <w:rPr>
                <w:rFonts w:ascii="仿宋_GB2312" w:eastAsia="仿宋_GB2312" w:hAnsi="宋体" w:cs="宋体" w:hint="eastAsia"/>
                <w:kern w:val="0"/>
                <w:sz w:val="24"/>
              </w:rPr>
              <w:t>以十个月计</w:t>
            </w:r>
          </w:p>
        </w:tc>
      </w:tr>
      <w:tr w:rsidR="00C46496" w:rsidTr="007F330C">
        <w:trPr>
          <w:trHeight w:val="567"/>
          <w:jc w:val="center"/>
        </w:trPr>
        <w:tc>
          <w:tcPr>
            <w:tcW w:w="1824" w:type="dxa"/>
            <w:gridSpan w:val="2"/>
            <w:vMerge w:val="restart"/>
            <w:vAlign w:val="center"/>
          </w:tcPr>
          <w:p w:rsidR="00C46496" w:rsidRDefault="00C46496" w:rsidP="007F330C">
            <w:pPr>
              <w:jc w:val="center"/>
              <w:rPr>
                <w:rFonts w:ascii="仿宋_GB2312" w:eastAsia="仿宋_GB2312" w:hAnsi="宋体" w:cs="宋体"/>
                <w:kern w:val="0"/>
                <w:sz w:val="24"/>
              </w:rPr>
            </w:pPr>
            <w:r>
              <w:rPr>
                <w:rFonts w:ascii="仿宋_GB2312" w:eastAsia="仿宋_GB2312" w:hAnsi="宋体" w:cs="宋体" w:hint="eastAsia"/>
                <w:kern w:val="0"/>
                <w:sz w:val="24"/>
              </w:rPr>
              <w:t>其它各类奖学金</w:t>
            </w:r>
          </w:p>
        </w:tc>
        <w:tc>
          <w:tcPr>
            <w:tcW w:w="850" w:type="dxa"/>
            <w:vAlign w:val="center"/>
          </w:tcPr>
          <w:p w:rsidR="00C46496" w:rsidRDefault="00C46496"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范围</w:t>
            </w:r>
          </w:p>
        </w:tc>
        <w:tc>
          <w:tcPr>
            <w:tcW w:w="4448" w:type="dxa"/>
            <w:vAlign w:val="center"/>
          </w:tcPr>
          <w:p w:rsidR="00C46496" w:rsidRDefault="00C46496" w:rsidP="007F330C">
            <w:pPr>
              <w:rPr>
                <w:rFonts w:ascii="仿宋_GB2312" w:eastAsia="仿宋_GB2312" w:hAnsi="宋体" w:cs="宋体"/>
                <w:kern w:val="0"/>
                <w:sz w:val="24"/>
              </w:rPr>
            </w:pPr>
            <w:r>
              <w:rPr>
                <w:rFonts w:ascii="仿宋_GB2312" w:eastAsia="仿宋_GB2312" w:hAnsi="宋体" w:cs="宋体" w:hint="eastAsia"/>
                <w:kern w:val="0"/>
                <w:sz w:val="24"/>
              </w:rPr>
              <w:t>非定向学术型、非定向专业学位硕士研究生和非在职少高计划硕士研究生</w:t>
            </w:r>
          </w:p>
        </w:tc>
        <w:tc>
          <w:tcPr>
            <w:tcW w:w="1706" w:type="dxa"/>
          </w:tcPr>
          <w:p w:rsidR="00C46496" w:rsidRDefault="00C46496" w:rsidP="007F330C">
            <w:pPr>
              <w:jc w:val="center"/>
              <w:rPr>
                <w:rFonts w:ascii="仿宋_GB2312" w:eastAsia="仿宋_GB2312" w:hAnsi="宋体" w:cs="宋体"/>
                <w:kern w:val="0"/>
                <w:sz w:val="24"/>
              </w:rPr>
            </w:pPr>
          </w:p>
        </w:tc>
      </w:tr>
      <w:tr w:rsidR="00C46496" w:rsidTr="007F330C">
        <w:trPr>
          <w:trHeight w:val="567"/>
          <w:jc w:val="center"/>
        </w:trPr>
        <w:tc>
          <w:tcPr>
            <w:tcW w:w="1824" w:type="dxa"/>
            <w:gridSpan w:val="2"/>
            <w:vMerge/>
            <w:vAlign w:val="center"/>
          </w:tcPr>
          <w:p w:rsidR="00C46496" w:rsidRDefault="00C46496" w:rsidP="007F330C">
            <w:pPr>
              <w:widowControl/>
              <w:jc w:val="left"/>
              <w:rPr>
                <w:rFonts w:ascii="仿宋_GB2312" w:eastAsia="仿宋_GB2312"/>
                <w:sz w:val="24"/>
              </w:rPr>
            </w:pPr>
          </w:p>
        </w:tc>
        <w:tc>
          <w:tcPr>
            <w:tcW w:w="850" w:type="dxa"/>
            <w:vMerge w:val="restart"/>
            <w:vAlign w:val="center"/>
          </w:tcPr>
          <w:p w:rsidR="00C46496" w:rsidRDefault="00C46496" w:rsidP="007F330C">
            <w:pPr>
              <w:adjustRightInd w:val="0"/>
              <w:snapToGrid w:val="0"/>
              <w:jc w:val="center"/>
              <w:rPr>
                <w:rFonts w:ascii="仿宋_GB2312" w:eastAsia="仿宋_GB2312" w:hAnsi="宋体" w:cs="宋体"/>
                <w:kern w:val="0"/>
                <w:sz w:val="24"/>
              </w:rPr>
            </w:pPr>
            <w:r>
              <w:rPr>
                <w:rFonts w:ascii="仿宋_GB2312" w:eastAsia="仿宋_GB2312" w:hAnsi="宋体" w:cs="宋体" w:hint="eastAsia"/>
                <w:kern w:val="0"/>
                <w:sz w:val="24"/>
              </w:rPr>
              <w:t>金额</w:t>
            </w:r>
          </w:p>
        </w:tc>
        <w:tc>
          <w:tcPr>
            <w:tcW w:w="4448" w:type="dxa"/>
            <w:vAlign w:val="center"/>
          </w:tcPr>
          <w:p w:rsidR="00C46496" w:rsidRDefault="00C46496" w:rsidP="007F330C">
            <w:pPr>
              <w:rPr>
                <w:rFonts w:ascii="仿宋_GB2312" w:eastAsia="仿宋_GB2312" w:hAnsi="宋体" w:cs="宋体"/>
                <w:kern w:val="0"/>
                <w:sz w:val="24"/>
              </w:rPr>
            </w:pPr>
            <w:r>
              <w:rPr>
                <w:rFonts w:ascii="仿宋_GB2312" w:eastAsia="仿宋_GB2312" w:hAnsi="宋体" w:cs="宋体" w:hint="eastAsia"/>
                <w:kern w:val="0"/>
                <w:sz w:val="24"/>
              </w:rPr>
              <w:t>国家奖学金（2万元/人）</w:t>
            </w:r>
          </w:p>
        </w:tc>
        <w:tc>
          <w:tcPr>
            <w:tcW w:w="1706" w:type="dxa"/>
          </w:tcPr>
          <w:p w:rsidR="00C46496" w:rsidRDefault="00C46496" w:rsidP="007F330C">
            <w:pPr>
              <w:jc w:val="center"/>
              <w:rPr>
                <w:rFonts w:ascii="仿宋_GB2312" w:eastAsia="仿宋_GB2312" w:hAnsi="宋体" w:cs="宋体"/>
                <w:kern w:val="0"/>
                <w:sz w:val="24"/>
              </w:rPr>
            </w:pPr>
          </w:p>
        </w:tc>
      </w:tr>
      <w:tr w:rsidR="00C46496" w:rsidTr="007F330C">
        <w:trPr>
          <w:trHeight w:val="567"/>
          <w:jc w:val="center"/>
        </w:trPr>
        <w:tc>
          <w:tcPr>
            <w:tcW w:w="1824" w:type="dxa"/>
            <w:gridSpan w:val="2"/>
            <w:vMerge/>
            <w:vAlign w:val="center"/>
          </w:tcPr>
          <w:p w:rsidR="00C46496" w:rsidRDefault="00C46496" w:rsidP="007F330C">
            <w:pPr>
              <w:widowControl/>
              <w:jc w:val="left"/>
              <w:rPr>
                <w:rFonts w:ascii="仿宋_GB2312" w:eastAsia="仿宋_GB2312"/>
                <w:sz w:val="24"/>
              </w:rPr>
            </w:pPr>
          </w:p>
        </w:tc>
        <w:tc>
          <w:tcPr>
            <w:tcW w:w="850" w:type="dxa"/>
            <w:vMerge/>
            <w:vAlign w:val="center"/>
          </w:tcPr>
          <w:p w:rsidR="00C46496" w:rsidRDefault="00C46496" w:rsidP="007F330C">
            <w:pPr>
              <w:widowControl/>
              <w:adjustRightInd w:val="0"/>
              <w:snapToGrid w:val="0"/>
              <w:jc w:val="left"/>
              <w:rPr>
                <w:rFonts w:ascii="仿宋_GB2312" w:eastAsia="仿宋_GB2312"/>
                <w:sz w:val="24"/>
              </w:rPr>
            </w:pPr>
          </w:p>
        </w:tc>
        <w:tc>
          <w:tcPr>
            <w:tcW w:w="4448" w:type="dxa"/>
          </w:tcPr>
          <w:p w:rsidR="00C46496" w:rsidRDefault="00C46496" w:rsidP="007F330C">
            <w:pPr>
              <w:jc w:val="left"/>
              <w:rPr>
                <w:rFonts w:ascii="仿宋_GB2312" w:eastAsia="仿宋_GB2312" w:hAnsi="宋体" w:cs="宋体"/>
                <w:kern w:val="0"/>
                <w:sz w:val="24"/>
              </w:rPr>
            </w:pPr>
            <w:r>
              <w:rPr>
                <w:rFonts w:ascii="仿宋_GB2312" w:eastAsia="仿宋_GB2312" w:hAnsi="宋体" w:cs="宋体" w:hint="eastAsia"/>
                <w:kern w:val="0"/>
                <w:sz w:val="24"/>
              </w:rPr>
              <w:t>学校优秀硕士生奖学金（0.5万元/人，2.5%）</w:t>
            </w:r>
          </w:p>
          <w:p w:rsidR="00C46496" w:rsidRDefault="00C46496" w:rsidP="007F330C">
            <w:pPr>
              <w:jc w:val="left"/>
              <w:rPr>
                <w:rFonts w:ascii="仿宋_GB2312" w:eastAsia="仿宋_GB2312" w:hAnsi="宋体" w:cs="宋体"/>
                <w:kern w:val="0"/>
                <w:sz w:val="24"/>
              </w:rPr>
            </w:pPr>
            <w:r>
              <w:rPr>
                <w:rFonts w:ascii="仿宋_GB2312" w:eastAsia="仿宋_GB2312" w:hAnsi="宋体" w:cs="宋体" w:hint="eastAsia"/>
                <w:kern w:val="0"/>
                <w:sz w:val="24"/>
              </w:rPr>
              <w:t>学校研究生社会活动奖学金（0.5万元/人，2.5%）</w:t>
            </w:r>
          </w:p>
        </w:tc>
        <w:tc>
          <w:tcPr>
            <w:tcW w:w="1706" w:type="dxa"/>
          </w:tcPr>
          <w:p w:rsidR="00C46496" w:rsidRDefault="00C46496" w:rsidP="007F330C">
            <w:pPr>
              <w:jc w:val="center"/>
              <w:rPr>
                <w:rFonts w:ascii="仿宋_GB2312" w:eastAsia="仿宋_GB2312" w:hAnsi="宋体" w:cs="宋体"/>
                <w:kern w:val="0"/>
                <w:sz w:val="24"/>
              </w:rPr>
            </w:pPr>
          </w:p>
        </w:tc>
      </w:tr>
      <w:tr w:rsidR="00C46496" w:rsidTr="007F330C">
        <w:trPr>
          <w:trHeight w:val="567"/>
          <w:jc w:val="center"/>
        </w:trPr>
        <w:tc>
          <w:tcPr>
            <w:tcW w:w="1824" w:type="dxa"/>
            <w:gridSpan w:val="2"/>
            <w:vMerge/>
            <w:vAlign w:val="center"/>
          </w:tcPr>
          <w:p w:rsidR="00C46496" w:rsidRDefault="00C46496" w:rsidP="007F330C">
            <w:pPr>
              <w:widowControl/>
              <w:jc w:val="left"/>
              <w:rPr>
                <w:rFonts w:ascii="仿宋_GB2312" w:eastAsia="仿宋_GB2312"/>
                <w:sz w:val="24"/>
              </w:rPr>
            </w:pPr>
          </w:p>
        </w:tc>
        <w:tc>
          <w:tcPr>
            <w:tcW w:w="850" w:type="dxa"/>
            <w:vMerge/>
            <w:vAlign w:val="center"/>
          </w:tcPr>
          <w:p w:rsidR="00C46496" w:rsidRDefault="00C46496" w:rsidP="007F330C">
            <w:pPr>
              <w:widowControl/>
              <w:adjustRightInd w:val="0"/>
              <w:snapToGrid w:val="0"/>
              <w:jc w:val="left"/>
              <w:rPr>
                <w:rFonts w:ascii="仿宋_GB2312" w:eastAsia="仿宋_GB2312"/>
                <w:sz w:val="24"/>
              </w:rPr>
            </w:pPr>
          </w:p>
        </w:tc>
        <w:tc>
          <w:tcPr>
            <w:tcW w:w="4448" w:type="dxa"/>
            <w:vAlign w:val="center"/>
          </w:tcPr>
          <w:p w:rsidR="00C46496" w:rsidRDefault="00C46496" w:rsidP="007F330C">
            <w:pPr>
              <w:rPr>
                <w:rFonts w:ascii="仿宋_GB2312" w:eastAsia="仿宋_GB2312" w:hAnsi="宋体" w:cs="宋体"/>
                <w:kern w:val="0"/>
                <w:sz w:val="24"/>
              </w:rPr>
            </w:pPr>
            <w:r>
              <w:rPr>
                <w:rFonts w:ascii="仿宋_GB2312" w:eastAsia="仿宋_GB2312" w:hAnsi="宋体" w:cs="宋体" w:hint="eastAsia"/>
                <w:kern w:val="0"/>
                <w:sz w:val="24"/>
              </w:rPr>
              <w:t>社会捐赠奖学金</w:t>
            </w:r>
          </w:p>
        </w:tc>
        <w:tc>
          <w:tcPr>
            <w:tcW w:w="1706" w:type="dxa"/>
            <w:vAlign w:val="center"/>
          </w:tcPr>
          <w:p w:rsidR="00C46496" w:rsidRDefault="00C46496" w:rsidP="007F330C">
            <w:pPr>
              <w:rPr>
                <w:rFonts w:ascii="仿宋_GB2312" w:eastAsia="仿宋_GB2312" w:hAnsi="宋体" w:cs="宋体"/>
                <w:kern w:val="0"/>
                <w:sz w:val="24"/>
              </w:rPr>
            </w:pPr>
            <w:r>
              <w:rPr>
                <w:rFonts w:ascii="仿宋_GB2312" w:eastAsia="仿宋_GB2312" w:hAnsi="宋体" w:cs="宋体" w:hint="eastAsia"/>
                <w:kern w:val="0"/>
                <w:sz w:val="24"/>
              </w:rPr>
              <w:t>按照捐赠协议</w:t>
            </w:r>
          </w:p>
        </w:tc>
      </w:tr>
    </w:tbl>
    <w:p w:rsidR="00C46496" w:rsidRDefault="00C46496" w:rsidP="00C46496">
      <w:pPr>
        <w:spacing w:line="584" w:lineRule="exact"/>
        <w:ind w:firstLine="658"/>
        <w:rPr>
          <w:rFonts w:ascii="仿宋_GB2312" w:eastAsia="仿宋_GB2312" w:hAnsi="宋体"/>
          <w:sz w:val="32"/>
          <w:szCs w:val="32"/>
        </w:rPr>
      </w:pPr>
    </w:p>
    <w:p w:rsidR="00C46496" w:rsidRDefault="00C46496" w:rsidP="00C46496">
      <w:pPr>
        <w:spacing w:line="584" w:lineRule="exact"/>
        <w:ind w:firstLine="658"/>
        <w:rPr>
          <w:rFonts w:asciiTheme="minorEastAsia" w:eastAsiaTheme="minorEastAsia" w:hAnsiTheme="minorEastAsia"/>
          <w:sz w:val="24"/>
        </w:rPr>
      </w:pPr>
      <w:r>
        <w:rPr>
          <w:rFonts w:asciiTheme="minorEastAsia" w:eastAsiaTheme="minorEastAsia" w:hAnsiTheme="minorEastAsia" w:hint="eastAsia"/>
          <w:sz w:val="24"/>
        </w:rPr>
        <w:t>备注：导师还可根据研究生科研投入情况另外发放助研酬金（硕士最高1000元/月。若需超过标准，向研究生院基金办和财务处备案。）</w:t>
      </w:r>
    </w:p>
    <w:p w:rsidR="00C46496" w:rsidRDefault="00C46496" w:rsidP="00C46496">
      <w:pPr>
        <w:spacing w:line="360" w:lineRule="auto"/>
        <w:ind w:firstLineChars="200" w:firstLine="480"/>
        <w:jc w:val="left"/>
        <w:rPr>
          <w:rFonts w:asciiTheme="minorEastAsia" w:eastAsiaTheme="minorEastAsia" w:hAnsiTheme="minorEastAsia"/>
          <w:bCs/>
          <w:sz w:val="24"/>
        </w:rPr>
      </w:pPr>
    </w:p>
    <w:p w:rsidR="00C46496" w:rsidRDefault="00C46496" w:rsidP="00C46496">
      <w:pPr>
        <w:spacing w:line="360" w:lineRule="auto"/>
        <w:ind w:firstLineChars="200" w:firstLine="480"/>
        <w:jc w:val="left"/>
        <w:rPr>
          <w:rFonts w:asciiTheme="minorEastAsia" w:eastAsiaTheme="minorEastAsia" w:hAnsiTheme="minorEastAsia"/>
          <w:bCs/>
          <w:sz w:val="24"/>
        </w:rPr>
      </w:pPr>
    </w:p>
    <w:p w:rsidR="00C46496" w:rsidRDefault="00C46496" w:rsidP="00C46496">
      <w:pPr>
        <w:spacing w:line="360" w:lineRule="auto"/>
        <w:ind w:firstLineChars="200" w:firstLine="480"/>
        <w:jc w:val="left"/>
        <w:rPr>
          <w:rFonts w:asciiTheme="minorEastAsia" w:eastAsiaTheme="minorEastAsia" w:hAnsiTheme="minorEastAsia"/>
          <w:bCs/>
          <w:sz w:val="24"/>
        </w:rPr>
      </w:pPr>
    </w:p>
    <w:p w:rsidR="00B578F0" w:rsidRDefault="00B578F0">
      <w:bookmarkStart w:id="35" w:name="_GoBack"/>
      <w:bookmarkEnd w:id="35"/>
    </w:p>
    <w:sectPr w:rsidR="00B578F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7AD1" w:rsidRDefault="007C7AD1" w:rsidP="00C46496">
      <w:r>
        <w:separator/>
      </w:r>
    </w:p>
  </w:endnote>
  <w:endnote w:type="continuationSeparator" w:id="0">
    <w:p w:rsidR="007C7AD1" w:rsidRDefault="007C7AD1" w:rsidP="00C46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方正小标宋简体">
    <w:altName w:val="Arial Unicode MS"/>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7AD1" w:rsidRDefault="007C7AD1" w:rsidP="00C46496">
      <w:r>
        <w:separator/>
      </w:r>
    </w:p>
  </w:footnote>
  <w:footnote w:type="continuationSeparator" w:id="0">
    <w:p w:rsidR="007C7AD1" w:rsidRDefault="007C7AD1" w:rsidP="00C46496">
      <w:r>
        <w:continuationSeparator/>
      </w:r>
    </w:p>
  </w:footnote>
  <w:footnote w:id="1">
    <w:p w:rsidR="00C46496" w:rsidRDefault="00C46496" w:rsidP="00C46496">
      <w:pPr>
        <w:pStyle w:val="a3"/>
        <w:ind w:firstLine="360"/>
        <w:rPr>
          <w:rFonts w:ascii="仿宋_GB2312" w:eastAsia="仿宋_GB2312"/>
          <w:sz w:val="21"/>
          <w:szCs w:val="21"/>
        </w:rPr>
      </w:pPr>
      <w:r>
        <w:rPr>
          <w:rStyle w:val="a5"/>
          <w:rFonts w:ascii="仿宋_GB2312" w:eastAsia="仿宋_GB2312" w:hint="eastAsia"/>
        </w:rPr>
        <w:footnoteRef/>
      </w:r>
      <w:r>
        <w:rPr>
          <w:rFonts w:ascii="仿宋_GB2312" w:eastAsia="仿宋_GB2312" w:hint="eastAsia"/>
          <w:sz w:val="21"/>
          <w:szCs w:val="21"/>
        </w:rPr>
        <w:t xml:space="preserve"> 此处中期考核不合格指的是按学制的正常中期考核，缓中期考核的情况按照缓考处理。中期考核有关规定：“凡未参加中期考核或中期考核未通过的硕士研究生，各学院应在半年后，再组织一次补考核工作。补考核未参加或再次考核不通过者，按中期考核不合格处理”摘自</w:t>
      </w:r>
      <w:r>
        <w:rPr>
          <w:rFonts w:ascii="仿宋_GB2312" w:eastAsia="仿宋_GB2312" w:hint="eastAsia"/>
          <w:b/>
          <w:sz w:val="21"/>
          <w:szCs w:val="21"/>
        </w:rPr>
        <w:t>《同济大学学术型硕士研究生培养工作规定》</w:t>
      </w:r>
      <w:r>
        <w:rPr>
          <w:rFonts w:ascii="仿宋_GB2312" w:eastAsia="仿宋_GB2312" w:hint="eastAsia"/>
          <w:sz w:val="21"/>
          <w:szCs w:val="21"/>
        </w:rPr>
        <w:t>同研[2007]078号文和</w:t>
      </w:r>
      <w:r>
        <w:rPr>
          <w:rFonts w:ascii="仿宋_GB2312" w:eastAsia="仿宋_GB2312" w:hint="eastAsia"/>
          <w:b/>
          <w:sz w:val="21"/>
          <w:szCs w:val="21"/>
        </w:rPr>
        <w:t>《同济大学全日制硕士专业学位研究生培养工作规定》</w:t>
      </w:r>
      <w:r>
        <w:rPr>
          <w:rFonts w:ascii="仿宋_GB2312" w:eastAsia="仿宋_GB2312" w:hint="eastAsia"/>
          <w:sz w:val="21"/>
          <w:szCs w:val="21"/>
        </w:rPr>
        <w:t>同研[2009]59号文。“中期考核不合格者或在规定时间内不能完成学位论文的应予以退学” 摘自《</w:t>
      </w:r>
      <w:r>
        <w:rPr>
          <w:rFonts w:ascii="仿宋_GB2312" w:eastAsia="仿宋_GB2312" w:hint="eastAsia"/>
          <w:b/>
          <w:sz w:val="21"/>
          <w:szCs w:val="21"/>
        </w:rPr>
        <w:t>同济大学研究生学籍管理规定》</w:t>
      </w:r>
      <w:r>
        <w:rPr>
          <w:rFonts w:ascii="仿宋_GB2312" w:eastAsia="仿宋_GB2312" w:hint="eastAsia"/>
          <w:sz w:val="21"/>
          <w:szCs w:val="21"/>
        </w:rPr>
        <w:t>同研[2005]072号文。</w:t>
      </w:r>
    </w:p>
  </w:footnote>
  <w:footnote w:id="2">
    <w:p w:rsidR="00C46496" w:rsidRDefault="00C46496" w:rsidP="00C46496">
      <w:pPr>
        <w:pStyle w:val="a3"/>
        <w:ind w:firstLine="360"/>
        <w:rPr>
          <w:rFonts w:ascii="仿宋_GB2312" w:eastAsia="仿宋_GB2312"/>
          <w:sz w:val="21"/>
          <w:szCs w:val="21"/>
        </w:rPr>
      </w:pPr>
      <w:r>
        <w:rPr>
          <w:rStyle w:val="a5"/>
          <w:rFonts w:ascii="仿宋_GB2312" w:eastAsia="仿宋_GB2312" w:hint="eastAsia"/>
        </w:rPr>
        <w:footnoteRef/>
      </w:r>
      <w:r>
        <w:rPr>
          <w:rFonts w:ascii="仿宋_GB2312" w:eastAsia="仿宋_GB2312" w:hint="eastAsia"/>
          <w:sz w:val="21"/>
          <w:szCs w:val="21"/>
        </w:rPr>
        <w:t xml:space="preserve"> 具体规定见《同济大学研究生学术行为规范》。</w:t>
      </w:r>
    </w:p>
  </w:footnote>
  <w:footnote w:id="3">
    <w:p w:rsidR="00C46496" w:rsidRDefault="00C46496" w:rsidP="00C46496">
      <w:pPr>
        <w:pStyle w:val="a3"/>
        <w:ind w:firstLine="360"/>
        <w:rPr>
          <w:rFonts w:ascii="仿宋_GB2312" w:eastAsia="仿宋_GB2312"/>
          <w:sz w:val="21"/>
          <w:szCs w:val="21"/>
        </w:rPr>
      </w:pPr>
      <w:r>
        <w:rPr>
          <w:rStyle w:val="a5"/>
          <w:rFonts w:ascii="仿宋_GB2312" w:eastAsia="仿宋_GB2312" w:hint="eastAsia"/>
        </w:rPr>
        <w:footnoteRef/>
      </w:r>
      <w:r>
        <w:rPr>
          <w:rFonts w:ascii="仿宋_GB2312" w:eastAsia="仿宋_GB2312" w:hint="eastAsia"/>
          <w:sz w:val="21"/>
          <w:szCs w:val="21"/>
        </w:rPr>
        <w:t>具体规定见《同济大学研究生学术行为规范》。</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496"/>
    <w:rsid w:val="00044E24"/>
    <w:rsid w:val="000B4481"/>
    <w:rsid w:val="000D1AA6"/>
    <w:rsid w:val="001C5814"/>
    <w:rsid w:val="00261AF5"/>
    <w:rsid w:val="002B5B8B"/>
    <w:rsid w:val="002E5E7E"/>
    <w:rsid w:val="004802C0"/>
    <w:rsid w:val="004C3BD4"/>
    <w:rsid w:val="005B7CC8"/>
    <w:rsid w:val="0062276F"/>
    <w:rsid w:val="00673824"/>
    <w:rsid w:val="006F11BF"/>
    <w:rsid w:val="0078099F"/>
    <w:rsid w:val="007C7AD1"/>
    <w:rsid w:val="00892D29"/>
    <w:rsid w:val="008D1A3E"/>
    <w:rsid w:val="00900404"/>
    <w:rsid w:val="00AD470B"/>
    <w:rsid w:val="00B578F0"/>
    <w:rsid w:val="00C46496"/>
    <w:rsid w:val="00D46DD3"/>
    <w:rsid w:val="00EB16E3"/>
    <w:rsid w:val="00ED4D3C"/>
    <w:rsid w:val="00FA53B9"/>
    <w:rsid w:val="00FB1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AF439A-7083-48F9-9B7A-003AA3BCE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649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qFormat/>
    <w:rsid w:val="00C46496"/>
    <w:pPr>
      <w:snapToGrid w:val="0"/>
      <w:spacing w:line="560" w:lineRule="exact"/>
      <w:ind w:firstLineChars="200" w:firstLine="600"/>
      <w:jc w:val="left"/>
    </w:pPr>
    <w:rPr>
      <w:kern w:val="0"/>
      <w:sz w:val="18"/>
      <w:szCs w:val="18"/>
    </w:rPr>
  </w:style>
  <w:style w:type="character" w:customStyle="1" w:styleId="a4">
    <w:name w:val="脚注文本 字符"/>
    <w:basedOn w:val="a0"/>
    <w:link w:val="a3"/>
    <w:qFormat/>
    <w:rsid w:val="00C46496"/>
    <w:rPr>
      <w:rFonts w:ascii="Times New Roman" w:eastAsia="宋体" w:hAnsi="Times New Roman" w:cs="Times New Roman"/>
      <w:kern w:val="0"/>
      <w:sz w:val="18"/>
      <w:szCs w:val="18"/>
    </w:rPr>
  </w:style>
  <w:style w:type="character" w:styleId="a5">
    <w:name w:val="footnote reference"/>
    <w:qFormat/>
    <w:rsid w:val="00C4649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842</Words>
  <Characters>4800</Characters>
  <Application>Microsoft Office Word</Application>
  <DocSecurity>0</DocSecurity>
  <Lines>40</Lines>
  <Paragraphs>11</Paragraphs>
  <ScaleCrop>false</ScaleCrop>
  <Company/>
  <LinksUpToDate>false</LinksUpToDate>
  <CharactersWithSpaces>5631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吴鹏凯</dc:creator>
  <cp:keywords/>
  <dc:description/>
  <cp:lastModifiedBy>吴鹏凯</cp:lastModifiedBy>
  <cp:revision>1</cp:revision>
  <dcterms:created xsi:type="dcterms:W3CDTF">2017-07-11T01:24:00Z</dcterms:created>
  <dcterms:modified xsi:type="dcterms:W3CDTF">2017-07-11T01:24:00Z</dcterms:modified>
</cp:coreProperties>
</file>