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804" w:rsidRDefault="00494804" w:rsidP="00494804">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27"/>
      <w:bookmarkStart w:id="1" w:name="_GoBack"/>
      <w:r>
        <w:rPr>
          <w:rFonts w:ascii="Arial" w:eastAsia="黑体" w:hAnsi="Arial" w:hint="eastAsia"/>
          <w:b/>
          <w:bCs/>
          <w:sz w:val="32"/>
          <w:szCs w:val="32"/>
        </w:rPr>
        <w:t>同济大学博士研究生奖助及其管理办法</w:t>
      </w:r>
      <w:bookmarkStart w:id="2" w:name="_Toc327452416"/>
      <w:bookmarkStart w:id="3" w:name="_Toc309057096"/>
      <w:bookmarkEnd w:id="0"/>
    </w:p>
    <w:bookmarkEnd w:id="1"/>
    <w:p w:rsidR="00494804" w:rsidRDefault="00494804" w:rsidP="00494804">
      <w:pPr>
        <w:spacing w:afterLines="100" w:after="312" w:line="360" w:lineRule="auto"/>
        <w:ind w:firstLineChars="200" w:firstLine="420"/>
        <w:jc w:val="center"/>
        <w:rPr>
          <w:rFonts w:ascii="宋体" w:hAnsi="宋体"/>
          <w:bCs/>
          <w:szCs w:val="21"/>
        </w:rPr>
      </w:pPr>
      <w:r>
        <w:rPr>
          <w:rFonts w:ascii="宋体" w:hAnsi="宋体" w:hint="eastAsia"/>
          <w:bCs/>
          <w:szCs w:val="21"/>
        </w:rPr>
        <w:t>(2014版)</w:t>
      </w:r>
      <w:bookmarkEnd w:id="2"/>
      <w:bookmarkEnd w:id="3"/>
    </w:p>
    <w:p w:rsidR="00494804" w:rsidRDefault="00494804" w:rsidP="00494804">
      <w:pPr>
        <w:adjustRightInd w:val="0"/>
        <w:spacing w:afterLines="100" w:after="312"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为进一步深化研究生培养机制改革，统筹资源，加强研究生资助力度，规范奖助管理，</w:t>
      </w:r>
      <w:r>
        <w:rPr>
          <w:rFonts w:asciiTheme="minorEastAsia" w:eastAsiaTheme="minorEastAsia" w:hAnsiTheme="minorEastAsia" w:hint="eastAsia"/>
          <w:sz w:val="24"/>
        </w:rPr>
        <w:t>特制定本办法。</w:t>
      </w:r>
    </w:p>
    <w:p w:rsidR="00494804" w:rsidRDefault="00494804" w:rsidP="00494804">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一、奖助原则</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（一）符合教育部研究生奖助的文件精神；</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（二）满足拔尖创新人才培养的要求；</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（三）为进一步提高博士研究生培养质量，吸引优秀生源，优化培养体系，加强导师在培养过程中的责任。</w:t>
      </w:r>
      <w:bookmarkStart w:id="4" w:name="_Toc327452417"/>
      <w:bookmarkStart w:id="5" w:name="_Toc309057097"/>
    </w:p>
    <w:p w:rsidR="00494804" w:rsidRDefault="00494804" w:rsidP="00494804">
      <w:pPr>
        <w:spacing w:line="360" w:lineRule="auto"/>
        <w:ind w:firstLineChars="200" w:firstLine="482"/>
        <w:rPr>
          <w:rFonts w:ascii="黑体" w:eastAsia="黑体" w:hAnsi="黑体"/>
          <w:b/>
          <w:bCs/>
          <w:color w:val="000000"/>
          <w:sz w:val="24"/>
        </w:rPr>
      </w:pPr>
      <w:bookmarkStart w:id="6" w:name="_Toc424300593"/>
      <w:r>
        <w:rPr>
          <w:rFonts w:ascii="黑体" w:eastAsia="黑体" w:hAnsi="黑体" w:hint="eastAsia"/>
          <w:b/>
          <w:bCs/>
          <w:color w:val="000000"/>
          <w:sz w:val="24"/>
        </w:rPr>
        <w:t>二、奖助对象</w:t>
      </w:r>
      <w:bookmarkEnd w:id="4"/>
      <w:bookmarkEnd w:id="5"/>
      <w:bookmarkEnd w:id="6"/>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本办法适用于以下学历教育博士研究生：</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（一）非定向就业学术型博士研究生；</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（二）非定向就业专业学位博士研究生；</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（三）少数民族高层次骨干人才计划（以下简称少高计划）非在职博士研究生。</w:t>
      </w:r>
    </w:p>
    <w:p w:rsidR="00494804" w:rsidRDefault="00494804" w:rsidP="00494804">
      <w:pPr>
        <w:spacing w:line="360" w:lineRule="auto"/>
        <w:ind w:firstLineChars="200" w:firstLine="482"/>
        <w:rPr>
          <w:rFonts w:ascii="黑体" w:eastAsia="黑体" w:hAnsi="黑体"/>
          <w:b/>
          <w:bCs/>
          <w:color w:val="000000"/>
          <w:sz w:val="24"/>
        </w:rPr>
      </w:pPr>
      <w:bookmarkStart w:id="7" w:name="_Toc424300594"/>
      <w:bookmarkStart w:id="8" w:name="_Toc327452418"/>
      <w:bookmarkStart w:id="9" w:name="_Toc309057098"/>
      <w:r>
        <w:rPr>
          <w:rFonts w:ascii="黑体" w:eastAsia="黑体" w:hAnsi="黑体" w:hint="eastAsia"/>
          <w:b/>
          <w:bCs/>
          <w:color w:val="000000"/>
          <w:sz w:val="24"/>
        </w:rPr>
        <w:t>三、奖助基本条件</w:t>
      </w:r>
      <w:bookmarkEnd w:id="7"/>
      <w:bookmarkEnd w:id="8"/>
      <w:bookmarkEnd w:id="9"/>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（一）热爱社会主义祖国，拥护中国共产党的领导；</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（二）遵守宪法和法律，遵守学校的规章制度；</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（三）诚实守信，勤奋学习，努力掌握专业知识，各门课程学习成绩合格；</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（四）积极参与科学研究和社会实践；</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（五）除特别说明外，奖助都在规定的学制内有效；</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（六）按学校规定报到或注册。</w:t>
      </w:r>
      <w:bookmarkStart w:id="10" w:name="_Toc327452419"/>
      <w:bookmarkStart w:id="11" w:name="_Toc309057099"/>
    </w:p>
    <w:p w:rsidR="00494804" w:rsidRDefault="00494804" w:rsidP="00494804">
      <w:pPr>
        <w:spacing w:line="360" w:lineRule="auto"/>
        <w:ind w:firstLineChars="200" w:firstLine="482"/>
        <w:rPr>
          <w:rFonts w:ascii="黑体" w:eastAsia="黑体" w:hAnsi="黑体"/>
          <w:b/>
          <w:bCs/>
          <w:color w:val="000000"/>
          <w:sz w:val="24"/>
        </w:rPr>
      </w:pPr>
      <w:bookmarkStart w:id="12" w:name="_Toc424300595"/>
      <w:r>
        <w:rPr>
          <w:rFonts w:ascii="黑体" w:eastAsia="黑体" w:hAnsi="黑体" w:hint="eastAsia"/>
          <w:b/>
          <w:bCs/>
          <w:color w:val="000000"/>
          <w:sz w:val="24"/>
        </w:rPr>
        <w:t>四、博士研究生奖助方案</w:t>
      </w:r>
      <w:bookmarkStart w:id="13" w:name="_Toc327452420"/>
      <w:bookmarkEnd w:id="10"/>
      <w:bookmarkEnd w:id="11"/>
      <w:bookmarkEnd w:id="12"/>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博士研究生奖助方案简况见附件1和附件2。详细情况如下：</w:t>
      </w:r>
    </w:p>
    <w:p w:rsidR="00494804" w:rsidRDefault="00494804" w:rsidP="00494804">
      <w:pPr>
        <w:spacing w:line="360" w:lineRule="auto"/>
        <w:ind w:firstLineChars="200" w:firstLine="480"/>
        <w:rPr>
          <w:rFonts w:asciiTheme="minorEastAsia" w:eastAsiaTheme="minorEastAsia" w:hAnsiTheme="minorEastAsia"/>
          <w:sz w:val="24"/>
        </w:rPr>
      </w:pPr>
      <w:bookmarkStart w:id="14" w:name="_Toc424300596"/>
      <w:r>
        <w:rPr>
          <w:rFonts w:asciiTheme="minorEastAsia" w:eastAsiaTheme="minorEastAsia" w:hAnsiTheme="minorEastAsia" w:hint="eastAsia"/>
          <w:sz w:val="24"/>
        </w:rPr>
        <w:t>（一）学业奖学金</w:t>
      </w:r>
      <w:bookmarkEnd w:id="13"/>
      <w:bookmarkEnd w:id="14"/>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设置学业奖学金，用于资助博士研究生学制内的学费。学业奖学金标准为1</w:t>
      </w:r>
      <w:r>
        <w:rPr>
          <w:rFonts w:asciiTheme="minorEastAsia" w:eastAsiaTheme="minorEastAsia" w:hAnsiTheme="minorEastAsia" w:hint="eastAsia"/>
          <w:sz w:val="24"/>
        </w:rPr>
        <w:lastRenderedPageBreak/>
        <w:t>万元/学年,来源为国家拨款和学校自筹。纳入本奖助体系的博士研究生入学时，都可获得学业奖学金。在学制内，学业奖学金将根据研究生的学习、科研和其它综合表现调整。</w:t>
      </w:r>
      <w:bookmarkStart w:id="15" w:name="_Toc327452421"/>
    </w:p>
    <w:p w:rsidR="00494804" w:rsidRDefault="00494804" w:rsidP="00494804">
      <w:pPr>
        <w:spacing w:line="360" w:lineRule="auto"/>
        <w:ind w:firstLineChars="200" w:firstLine="480"/>
        <w:rPr>
          <w:rFonts w:asciiTheme="minorEastAsia" w:eastAsiaTheme="minorEastAsia" w:hAnsiTheme="minorEastAsia"/>
          <w:sz w:val="24"/>
        </w:rPr>
      </w:pPr>
      <w:bookmarkStart w:id="16" w:name="_Toc424300597"/>
      <w:r>
        <w:rPr>
          <w:rFonts w:asciiTheme="minorEastAsia" w:eastAsiaTheme="minorEastAsia" w:hAnsiTheme="minorEastAsia" w:hint="eastAsia"/>
          <w:sz w:val="24"/>
        </w:rPr>
        <w:t>（二）助学金</w:t>
      </w:r>
      <w:bookmarkEnd w:id="15"/>
      <w:bookmarkEnd w:id="16"/>
    </w:p>
    <w:p w:rsidR="00494804" w:rsidRDefault="00494804" w:rsidP="00494804">
      <w:pPr>
        <w:spacing w:line="360" w:lineRule="auto"/>
        <w:ind w:firstLineChars="200" w:firstLine="480"/>
        <w:rPr>
          <w:rFonts w:asciiTheme="minorEastAsia" w:eastAsiaTheme="minorEastAsia" w:hAnsiTheme="minorEastAsia"/>
          <w:sz w:val="24"/>
        </w:rPr>
      </w:pPr>
      <w:bookmarkStart w:id="17" w:name="_Toc327452422"/>
      <w:r>
        <w:rPr>
          <w:rFonts w:asciiTheme="minorEastAsia" w:eastAsiaTheme="minorEastAsia" w:hAnsiTheme="minorEastAsia" w:hint="eastAsia"/>
          <w:sz w:val="24"/>
        </w:rPr>
        <w:t>1.学制内的助学金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纳入本奖助体系的博士研究生学制内可享受助学金，助学金由学校出资和导师出资两部分组成，其中学校出资部分为1.4万/人/年（以每年十个月计），导师出资部分由各培养单位自行确定，具体金额见附件3。</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专项研究生中少高计划博士研究生按国家标准发放助学金。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2.超学制第一和第二年的助学金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超学制第一和第二年的优秀博士生，如研究成果突出，并愿意继续从事科学研究，由本人提出申请，导师同意后，经学院审核，报研究生院。由研究生教育创新基金管理委员会组织专家根据申请人的学习、科研和其它综合表现进行遴选，获选者可获得与学制内相同的助学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超学制第一年的资助人数为当届招生数的20%左右，超学制第二年资助人数为当届招生数的10%左右。</w:t>
      </w:r>
    </w:p>
    <w:p w:rsidR="00494804" w:rsidRDefault="00494804" w:rsidP="00494804">
      <w:pPr>
        <w:spacing w:line="360" w:lineRule="auto"/>
        <w:ind w:firstLineChars="200" w:firstLine="480"/>
        <w:rPr>
          <w:rFonts w:asciiTheme="minorEastAsia" w:eastAsiaTheme="minorEastAsia" w:hAnsiTheme="minorEastAsia"/>
          <w:sz w:val="24"/>
        </w:rPr>
      </w:pPr>
      <w:bookmarkStart w:id="18" w:name="_Toc424300598"/>
      <w:r>
        <w:rPr>
          <w:rFonts w:asciiTheme="minorEastAsia" w:eastAsiaTheme="minorEastAsia" w:hAnsiTheme="minorEastAsia" w:hint="eastAsia"/>
          <w:sz w:val="24"/>
        </w:rPr>
        <w:t>（三）助研酬金</w:t>
      </w:r>
      <w:bookmarkEnd w:id="18"/>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助研酬金为博士研究生协助导师从事与科研项目有关的科研活动所获得的酬金，由导师根据其具体表现发放。博士生助研酬金每月最高2000元。若需超过标准，向研究生院基金办和财务处备案。</w:t>
      </w:r>
    </w:p>
    <w:p w:rsidR="00494804" w:rsidRDefault="00494804" w:rsidP="00494804">
      <w:pPr>
        <w:spacing w:line="360" w:lineRule="auto"/>
        <w:ind w:firstLineChars="200" w:firstLine="480"/>
        <w:rPr>
          <w:rFonts w:asciiTheme="minorEastAsia" w:eastAsiaTheme="minorEastAsia" w:hAnsiTheme="minorEastAsia"/>
          <w:sz w:val="24"/>
        </w:rPr>
      </w:pPr>
      <w:bookmarkStart w:id="19" w:name="_Toc424300599"/>
      <w:r>
        <w:rPr>
          <w:rFonts w:asciiTheme="minorEastAsia" w:eastAsiaTheme="minorEastAsia" w:hAnsiTheme="minorEastAsia" w:hint="eastAsia"/>
          <w:sz w:val="24"/>
        </w:rPr>
        <w:t>（四）助教</w:t>
      </w:r>
      <w:bookmarkEnd w:id="19"/>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根据学校教学工作的需要，设置若干助教岗位，这些岗位对纳入本奖助方案的所有博士研究生开放。鼓励有能力和有意愿参与教学实践的博士生申请。每名博士研究生只能申请一个助教岗位。</w:t>
      </w:r>
    </w:p>
    <w:p w:rsidR="00494804" w:rsidRDefault="00494804" w:rsidP="00494804">
      <w:pPr>
        <w:spacing w:line="360" w:lineRule="auto"/>
        <w:ind w:firstLineChars="200" w:firstLine="480"/>
        <w:rPr>
          <w:rFonts w:asciiTheme="minorEastAsia" w:eastAsiaTheme="minorEastAsia" w:hAnsiTheme="minorEastAsia"/>
          <w:sz w:val="24"/>
        </w:rPr>
      </w:pPr>
      <w:bookmarkStart w:id="20" w:name="_Toc424300600"/>
      <w:r>
        <w:rPr>
          <w:rFonts w:asciiTheme="minorEastAsia" w:eastAsiaTheme="minorEastAsia" w:hAnsiTheme="minorEastAsia" w:hint="eastAsia"/>
          <w:sz w:val="24"/>
        </w:rPr>
        <w:t>（五）博士研究生奖学金</w:t>
      </w:r>
      <w:bookmarkEnd w:id="20"/>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1.博士研究生国家奖学金，数量根据国家当年下达名额确定。</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2.同济大学优秀博士新生奖学金，标准为 0.5万元/人，数量为当年招生人数的11%左右。</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3.同济大学优秀博士生奖学金，标准为1万元/人，每年评选100名左右。</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4.同济大学研究生社会活动奖学金，标准为0.5万元/人，数量为在校全日制博士研究生人数（不含一年级）的2.5%左右。</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5.社会捐赠奖学金，奖励标准、名额和要求等根据捐赠协议确定。</w:t>
      </w:r>
    </w:p>
    <w:p w:rsidR="00494804" w:rsidRDefault="00494804" w:rsidP="00494804">
      <w:pPr>
        <w:spacing w:line="360" w:lineRule="auto"/>
        <w:ind w:firstLineChars="200" w:firstLine="480"/>
        <w:rPr>
          <w:rFonts w:asciiTheme="minorEastAsia" w:eastAsiaTheme="minorEastAsia" w:hAnsiTheme="minorEastAsia"/>
          <w:sz w:val="24"/>
        </w:rPr>
      </w:pPr>
      <w:bookmarkStart w:id="21" w:name="_Toc424300601"/>
      <w:r>
        <w:rPr>
          <w:rFonts w:asciiTheme="minorEastAsia" w:eastAsiaTheme="minorEastAsia" w:hAnsiTheme="minorEastAsia" w:hint="eastAsia"/>
          <w:sz w:val="24"/>
        </w:rPr>
        <w:t>（六）其它</w:t>
      </w:r>
      <w:bookmarkStart w:id="22" w:name="_Toc327452423"/>
      <w:bookmarkEnd w:id="17"/>
      <w:r>
        <w:rPr>
          <w:rFonts w:asciiTheme="minorEastAsia" w:eastAsiaTheme="minorEastAsia" w:hAnsiTheme="minorEastAsia" w:hint="eastAsia"/>
          <w:sz w:val="24"/>
        </w:rPr>
        <w:t>说明</w:t>
      </w:r>
      <w:bookmarkEnd w:id="21"/>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bookmarkEnd w:id="22"/>
      <w:r>
        <w:rPr>
          <w:rFonts w:asciiTheme="minorEastAsia" w:eastAsiaTheme="minorEastAsia" w:hAnsiTheme="minorEastAsia" w:hint="eastAsia"/>
          <w:sz w:val="24"/>
        </w:rPr>
        <w:t>.博士生奖助方案基本情况可参见附件1、附件2。</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2.学业奖学金的管理办法详见本文第五部分；助学金管理办法见本文第六部分；助研酬金管理办法见本文第七部分；助教的管理办法见本文第八部分；博士研究生奖学金管理办法或说明见本文第九部分。</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3.国家助学贷款和帮困基金等，按照学校有关规定执行。</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bookmarkStart w:id="23" w:name="_Toc327452424"/>
      <w:bookmarkStart w:id="24" w:name="_Toc309057100"/>
      <w:r>
        <w:rPr>
          <w:rFonts w:asciiTheme="minorEastAsia" w:eastAsiaTheme="minorEastAsia" w:hAnsiTheme="minorEastAsia" w:hint="eastAsia"/>
          <w:sz w:val="24"/>
        </w:rPr>
        <w:t>.2014级以前入学博士研究生的学业奖学金和学制内助学金（助研金）按照原政策执行，研究生奖学金按照现政策设置和评选。</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5.2014级以前入学博士研究生超学制奖助按照本办法执行。</w:t>
      </w:r>
      <w:r>
        <w:rPr>
          <w:rFonts w:asciiTheme="minorEastAsia" w:eastAsiaTheme="minorEastAsia" w:hAnsiTheme="minorEastAsia"/>
          <w:sz w:val="24"/>
        </w:rPr>
        <w:t>原优秀博士生第二阶段奖学金调整为</w:t>
      </w:r>
      <w:r>
        <w:rPr>
          <w:rFonts w:asciiTheme="minorEastAsia" w:eastAsiaTheme="minorEastAsia" w:hAnsiTheme="minorEastAsia" w:hint="eastAsia"/>
          <w:sz w:val="24"/>
        </w:rPr>
        <w:t>同济大学优秀</w:t>
      </w:r>
      <w:r>
        <w:rPr>
          <w:rFonts w:asciiTheme="minorEastAsia" w:eastAsiaTheme="minorEastAsia" w:hAnsiTheme="minorEastAsia"/>
          <w:sz w:val="24"/>
        </w:rPr>
        <w:t>博</w:t>
      </w:r>
      <w:r>
        <w:rPr>
          <w:rFonts w:asciiTheme="minorEastAsia" w:eastAsiaTheme="minorEastAsia" w:hAnsiTheme="minorEastAsia" w:hint="eastAsia"/>
          <w:sz w:val="24"/>
        </w:rPr>
        <w:t>士生</w:t>
      </w:r>
      <w:r>
        <w:rPr>
          <w:rFonts w:asciiTheme="minorEastAsia" w:eastAsiaTheme="minorEastAsia" w:hAnsiTheme="minorEastAsia"/>
          <w:sz w:val="24"/>
        </w:rPr>
        <w:t>奖学金，原优秀博士</w:t>
      </w:r>
      <w:r>
        <w:rPr>
          <w:rFonts w:asciiTheme="minorEastAsia" w:eastAsiaTheme="minorEastAsia" w:hAnsiTheme="minorEastAsia" w:hint="eastAsia"/>
          <w:sz w:val="24"/>
        </w:rPr>
        <w:t>生</w:t>
      </w:r>
      <w:r>
        <w:rPr>
          <w:rFonts w:asciiTheme="minorEastAsia" w:eastAsiaTheme="minorEastAsia" w:hAnsiTheme="minorEastAsia"/>
          <w:sz w:val="24"/>
        </w:rPr>
        <w:t>第三阶段（含第四、五学年）奖学金调整为超学制第一、二年博士助学金。</w:t>
      </w:r>
    </w:p>
    <w:p w:rsidR="00494804" w:rsidRDefault="00494804" w:rsidP="00494804">
      <w:pPr>
        <w:spacing w:line="360" w:lineRule="auto"/>
        <w:ind w:firstLineChars="200" w:firstLine="482"/>
        <w:rPr>
          <w:rFonts w:ascii="黑体" w:eastAsia="黑体" w:hAnsi="黑体"/>
          <w:b/>
          <w:bCs/>
          <w:color w:val="000000"/>
          <w:sz w:val="24"/>
        </w:rPr>
      </w:pPr>
      <w:bookmarkStart w:id="25" w:name="_Toc424300602"/>
      <w:r>
        <w:rPr>
          <w:rFonts w:ascii="黑体" w:eastAsia="黑体" w:hAnsi="黑体" w:hint="eastAsia"/>
          <w:b/>
          <w:bCs/>
          <w:color w:val="000000"/>
          <w:sz w:val="24"/>
        </w:rPr>
        <w:t>五、</w:t>
      </w:r>
      <w:bookmarkStart w:id="26" w:name="_Toc327452429"/>
      <w:bookmarkEnd w:id="23"/>
      <w:r>
        <w:rPr>
          <w:rFonts w:ascii="黑体" w:eastAsia="黑体" w:hAnsi="黑体" w:hint="eastAsia"/>
          <w:b/>
          <w:bCs/>
          <w:color w:val="000000"/>
          <w:sz w:val="24"/>
        </w:rPr>
        <w:t>学业奖学金管理办法</w:t>
      </w:r>
      <w:bookmarkEnd w:id="25"/>
    </w:p>
    <w:p w:rsidR="00494804" w:rsidRDefault="00494804" w:rsidP="00494804">
      <w:pPr>
        <w:spacing w:line="360" w:lineRule="auto"/>
        <w:ind w:firstLineChars="200" w:firstLine="480"/>
        <w:rPr>
          <w:rFonts w:asciiTheme="minorEastAsia" w:eastAsiaTheme="minorEastAsia" w:hAnsiTheme="minorEastAsia"/>
          <w:sz w:val="24"/>
        </w:rPr>
      </w:pPr>
      <w:bookmarkStart w:id="27" w:name="_Toc424300603"/>
      <w:r>
        <w:rPr>
          <w:rFonts w:asciiTheme="minorEastAsia" w:eastAsiaTheme="minorEastAsia" w:hAnsiTheme="minorEastAsia" w:hint="eastAsia"/>
          <w:sz w:val="24"/>
        </w:rPr>
        <w:t>（</w:t>
      </w:r>
      <w:bookmarkStart w:id="28" w:name="_Toc327452430"/>
      <w:bookmarkStart w:id="29" w:name="_Toc309057101"/>
      <w:bookmarkEnd w:id="24"/>
      <w:bookmarkEnd w:id="26"/>
      <w:r>
        <w:rPr>
          <w:rFonts w:asciiTheme="minorEastAsia" w:eastAsiaTheme="minorEastAsia" w:hAnsiTheme="minorEastAsia" w:hint="eastAsia"/>
          <w:sz w:val="24"/>
        </w:rPr>
        <w:t>一）学业奖学金操作程序</w:t>
      </w:r>
      <w:bookmarkEnd w:id="27"/>
    </w:p>
    <w:bookmarkEnd w:id="28"/>
    <w:bookmarkEnd w:id="29"/>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1.在学制内，根据博士生录取、报到、注册和培养等信息确定名单。博士生学业奖学金按学年发放。</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2.每学年结束后，根据学生学习、科研和其它综合表现，确定下一学年的学业奖学金。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3.对经济困难的博士生，可提出缓交学费申请。获批准后，可用学业奖学金抵充学费。</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4.休学期间学业奖学金暂缓发放。复学后经本人申请，学院、研究生院审核，评定相应阶段的学业奖学金，同时后续对学业奖学金的评定也按其入学时所在年级统一进行。</w:t>
      </w:r>
    </w:p>
    <w:p w:rsidR="00494804" w:rsidRDefault="00494804" w:rsidP="00494804">
      <w:pPr>
        <w:spacing w:line="360" w:lineRule="auto"/>
        <w:ind w:firstLineChars="200" w:firstLine="480"/>
        <w:rPr>
          <w:rFonts w:asciiTheme="minorEastAsia" w:eastAsiaTheme="minorEastAsia" w:hAnsiTheme="minorEastAsia"/>
          <w:sz w:val="24"/>
        </w:rPr>
      </w:pPr>
      <w:bookmarkStart w:id="30" w:name="_Toc424300604"/>
      <w:r>
        <w:rPr>
          <w:rFonts w:asciiTheme="minorEastAsia" w:eastAsiaTheme="minorEastAsia" w:hAnsiTheme="minorEastAsia" w:hint="eastAsia"/>
          <w:sz w:val="24"/>
        </w:rPr>
        <w:t>（</w:t>
      </w:r>
      <w:bookmarkStart w:id="31" w:name="_Toc309057102"/>
      <w:bookmarkStart w:id="32" w:name="_Toc327452431"/>
      <w:r>
        <w:rPr>
          <w:rFonts w:asciiTheme="minorEastAsia" w:eastAsiaTheme="minorEastAsia" w:hAnsiTheme="minorEastAsia" w:hint="eastAsia"/>
          <w:sz w:val="24"/>
        </w:rPr>
        <w:t>二）学业奖学金的取消</w:t>
      </w:r>
      <w:bookmarkEnd w:id="30"/>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博</w:t>
      </w:r>
      <w:bookmarkEnd w:id="31"/>
      <w:bookmarkEnd w:id="32"/>
      <w:r>
        <w:rPr>
          <w:rFonts w:asciiTheme="minorEastAsia" w:eastAsiaTheme="minorEastAsia" w:hAnsiTheme="minorEastAsia" w:hint="eastAsia"/>
          <w:sz w:val="24"/>
        </w:rPr>
        <w:t>士研究生在学期间发生下列情况之一者取消其学业奖学金：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1.课程考试一门次不合格者；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2.第一次中期考核未通过者</w:t>
      </w:r>
      <w:r>
        <w:rPr>
          <w:rFonts w:asciiTheme="minorEastAsia" w:eastAsiaTheme="minorEastAsia" w:hAnsiTheme="minorEastAsia" w:hint="eastAsia"/>
          <w:sz w:val="24"/>
          <w:vertAlign w:val="superscript"/>
        </w:rPr>
        <w:footnoteReference w:id="1"/>
      </w:r>
      <w:r>
        <w:rPr>
          <w:rFonts w:asciiTheme="minorEastAsia" w:eastAsiaTheme="minorEastAsia" w:hAnsiTheme="minorEastAsia" w:hint="eastAsia"/>
          <w:sz w:val="24"/>
        </w:rPr>
        <w:t>；</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3.违反校纪校规受到处分者；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4.规定学制结束者;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5.违反研究生学术行为规范</w:t>
      </w:r>
      <w:r>
        <w:rPr>
          <w:rFonts w:asciiTheme="minorEastAsia" w:eastAsiaTheme="minorEastAsia" w:hAnsiTheme="minorEastAsia" w:hint="eastAsia"/>
          <w:sz w:val="24"/>
          <w:vertAlign w:val="superscript"/>
        </w:rPr>
        <w:footnoteReference w:id="2"/>
      </w:r>
      <w:r>
        <w:rPr>
          <w:rFonts w:asciiTheme="minorEastAsia" w:eastAsiaTheme="minorEastAsia" w:hAnsiTheme="minorEastAsia" w:hint="eastAsia"/>
          <w:sz w:val="24"/>
        </w:rPr>
        <w:t>并被认定者；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6.未经导师同意自行在校外兼职者；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7.非因不可抗力的正当事由超过2周未注册者。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学业奖学金一经取消，不再予以恢复。</w:t>
      </w:r>
    </w:p>
    <w:p w:rsidR="00494804" w:rsidRDefault="00494804" w:rsidP="00494804">
      <w:pPr>
        <w:spacing w:line="360" w:lineRule="auto"/>
        <w:ind w:firstLineChars="200" w:firstLine="480"/>
        <w:rPr>
          <w:rFonts w:asciiTheme="minorEastAsia" w:eastAsiaTheme="minorEastAsia" w:hAnsiTheme="minorEastAsia"/>
          <w:sz w:val="24"/>
        </w:rPr>
      </w:pPr>
      <w:bookmarkStart w:id="33" w:name="_Toc424300605"/>
      <w:r>
        <w:rPr>
          <w:rFonts w:asciiTheme="minorEastAsia" w:eastAsiaTheme="minorEastAsia" w:hAnsiTheme="minorEastAsia" w:hint="eastAsia"/>
          <w:sz w:val="24"/>
        </w:rPr>
        <w:t>（</w:t>
      </w:r>
      <w:bookmarkStart w:id="34" w:name="_Toc327452432"/>
      <w:r>
        <w:rPr>
          <w:rFonts w:asciiTheme="minorEastAsia" w:eastAsiaTheme="minorEastAsia" w:hAnsiTheme="minorEastAsia" w:hint="eastAsia"/>
          <w:sz w:val="24"/>
        </w:rPr>
        <w:t>三）其他事项</w:t>
      </w:r>
      <w:bookmarkEnd w:id="33"/>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bookmarkEnd w:id="34"/>
      <w:r>
        <w:rPr>
          <w:rFonts w:asciiTheme="minorEastAsia" w:eastAsiaTheme="minorEastAsia" w:hAnsiTheme="minorEastAsia" w:hint="eastAsia"/>
          <w:sz w:val="24"/>
        </w:rPr>
        <w:t>提前攻博、直接攻博以及硕博连读研究生，在进入博士阶段后申请转为硕士研究生的将取消其博士研究生学业奖学金和助学金，按转入当年的硕士研究生学费标准缴纳学费，可申请硕士生“三助”岗位。</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2.对于退学或转为硕士学习的博士研究生，须退还未完成学业部分的博士生学业奖学金。</w:t>
      </w:r>
    </w:p>
    <w:p w:rsidR="00494804" w:rsidRDefault="00494804" w:rsidP="00494804">
      <w:pPr>
        <w:spacing w:line="360" w:lineRule="auto"/>
        <w:ind w:firstLineChars="200" w:firstLine="482"/>
        <w:rPr>
          <w:rFonts w:ascii="黑体" w:eastAsia="黑体" w:hAnsi="黑体"/>
          <w:b/>
          <w:bCs/>
          <w:color w:val="000000"/>
          <w:sz w:val="24"/>
        </w:rPr>
      </w:pPr>
      <w:bookmarkStart w:id="35" w:name="_Toc424300606"/>
      <w:r>
        <w:rPr>
          <w:rFonts w:ascii="黑体" w:eastAsia="黑体" w:hAnsi="黑体" w:hint="eastAsia"/>
          <w:b/>
          <w:bCs/>
          <w:color w:val="000000"/>
          <w:sz w:val="24"/>
        </w:rPr>
        <w:t>六</w:t>
      </w:r>
      <w:bookmarkStart w:id="36" w:name="_Toc309057103"/>
      <w:bookmarkStart w:id="37" w:name="_Toc327452433"/>
      <w:r>
        <w:rPr>
          <w:rFonts w:ascii="黑体" w:eastAsia="黑体" w:hAnsi="黑体" w:hint="eastAsia"/>
          <w:b/>
          <w:bCs/>
          <w:color w:val="000000"/>
          <w:sz w:val="24"/>
        </w:rPr>
        <w:t>、助学金管理办法</w:t>
      </w:r>
      <w:bookmarkEnd w:id="35"/>
    </w:p>
    <w:p w:rsidR="00494804" w:rsidRDefault="00494804" w:rsidP="00494804">
      <w:pPr>
        <w:spacing w:line="360" w:lineRule="auto"/>
        <w:ind w:firstLineChars="200" w:firstLine="480"/>
        <w:rPr>
          <w:rFonts w:asciiTheme="minorEastAsia" w:eastAsiaTheme="minorEastAsia" w:hAnsiTheme="minorEastAsia"/>
          <w:sz w:val="24"/>
        </w:rPr>
      </w:pPr>
      <w:bookmarkStart w:id="38" w:name="_Toc424300607"/>
      <w:r>
        <w:rPr>
          <w:rFonts w:asciiTheme="minorEastAsia" w:eastAsiaTheme="minorEastAsia" w:hAnsiTheme="minorEastAsia" w:hint="eastAsia"/>
          <w:sz w:val="24"/>
        </w:rPr>
        <w:t>（</w:t>
      </w:r>
      <w:bookmarkStart w:id="39" w:name="_Toc327452434"/>
      <w:bookmarkStart w:id="40" w:name="_Toc309057104"/>
      <w:bookmarkEnd w:id="36"/>
      <w:bookmarkEnd w:id="37"/>
      <w:r>
        <w:rPr>
          <w:rFonts w:asciiTheme="minorEastAsia" w:eastAsiaTheme="minorEastAsia" w:hAnsiTheme="minorEastAsia" w:hint="eastAsia"/>
          <w:sz w:val="24"/>
        </w:rPr>
        <w:t>一）助学金的发放</w:t>
      </w:r>
      <w:bookmarkEnd w:id="38"/>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1.学制内博士研究生根据学生录取、报到、注册和培养等信息确定名单。</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2.助学金按月发放，每年按十个月计（2、8月不发）。</w:t>
      </w:r>
    </w:p>
    <w:p w:rsidR="00494804" w:rsidRDefault="00494804" w:rsidP="00494804">
      <w:pPr>
        <w:spacing w:line="360" w:lineRule="auto"/>
        <w:ind w:firstLineChars="200" w:firstLine="480"/>
        <w:rPr>
          <w:rFonts w:asciiTheme="minorEastAsia" w:eastAsiaTheme="minorEastAsia" w:hAnsiTheme="minorEastAsia"/>
          <w:sz w:val="24"/>
        </w:rPr>
      </w:pPr>
      <w:bookmarkStart w:id="41" w:name="_Toc424300608"/>
      <w:r>
        <w:rPr>
          <w:rFonts w:asciiTheme="minorEastAsia" w:eastAsiaTheme="minorEastAsia" w:hAnsiTheme="minorEastAsia" w:hint="eastAsia"/>
          <w:sz w:val="24"/>
        </w:rPr>
        <w:t>（二）助学金的取消</w:t>
      </w:r>
      <w:bookmarkEnd w:id="41"/>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1.研究生由于出国、疾病等原因办理保留学籍或休学等手续的，暂停发放助学金。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2.停发期结束后，本人须向所在院（系、所）提出恢复学籍的申请，经导师</w:t>
      </w:r>
      <w:r>
        <w:rPr>
          <w:rFonts w:asciiTheme="minorEastAsia" w:eastAsiaTheme="minorEastAsia" w:hAnsiTheme="minorEastAsia" w:hint="eastAsia"/>
          <w:sz w:val="24"/>
        </w:rPr>
        <w:lastRenderedPageBreak/>
        <w:t>同意，所在学院审核后，报研究生院审批，方能恢复发放。</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3.超过规定学制年限的延期毕业生不再享受助学金。</w:t>
      </w:r>
    </w:p>
    <w:p w:rsidR="00494804" w:rsidRDefault="00494804" w:rsidP="00494804">
      <w:pPr>
        <w:spacing w:line="360" w:lineRule="auto"/>
        <w:ind w:firstLineChars="200" w:firstLine="480"/>
        <w:rPr>
          <w:rFonts w:asciiTheme="minorEastAsia" w:eastAsiaTheme="minorEastAsia" w:hAnsiTheme="minorEastAsia"/>
          <w:sz w:val="24"/>
        </w:rPr>
      </w:pPr>
      <w:bookmarkStart w:id="42" w:name="_Toc424300609"/>
      <w:r>
        <w:rPr>
          <w:rFonts w:asciiTheme="minorEastAsia" w:eastAsiaTheme="minorEastAsia" w:hAnsiTheme="minorEastAsia" w:hint="eastAsia"/>
          <w:sz w:val="24"/>
        </w:rPr>
        <w:t>（三</w:t>
      </w:r>
      <w:bookmarkStart w:id="43" w:name="_Toc327452441"/>
      <w:bookmarkEnd w:id="39"/>
      <w:bookmarkEnd w:id="40"/>
      <w:r>
        <w:rPr>
          <w:rFonts w:asciiTheme="minorEastAsia" w:eastAsiaTheme="minorEastAsia" w:hAnsiTheme="minorEastAsia" w:hint="eastAsia"/>
          <w:sz w:val="24"/>
        </w:rPr>
        <w:t>）助学金经费管理</w:t>
      </w:r>
      <w:bookmarkEnd w:id="42"/>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bookmarkEnd w:id="43"/>
      <w:r>
        <w:rPr>
          <w:rFonts w:asciiTheme="minorEastAsia" w:eastAsiaTheme="minorEastAsia" w:hAnsiTheme="minorEastAsia" w:hint="eastAsia"/>
          <w:sz w:val="24"/>
        </w:rPr>
        <w:t>.助学金中学校承担部分由学校直接划拨至研究生教育创新基金帐户。</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2.由导师出资部分的管理流程为：</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（1）招收非定向就业博士研究生的导师需将学生学制内应资助经费一次性划拨到学院导师资助专用账户。（各培养单位导师出资部分见附件3）</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（2）学生满学制或终止学业后，导师出资费用的结余部分仍可用于导师其他研究生的资助。</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（3）转导师审批时，转入导师需将新转入学生可能要发生的资助费用一次性划拨到学院导师资助专用账户，转出导师预付的资助费用将作为结余经费用于导师其他研究生的资助。</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3.博士扶持基金的申请和发放</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博士扶持基金用于支持文科和部分理科导师的博士研究生培养工作，支付助学金当中导师出资部分。每年在招生录取工作前，由研究生院发出申请通知，学院组织招生导师进行申请，研究生教育创新基金管理委员会进行评审。每位招生导师在申请时需完成至少一项上一年度人事处专业技术岗位高级职务任职必备条件中科学研究方面要求的内容。每位招生导师限申请一份博士扶持基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博士扶持基金的发放。由研究生院根据扶持基金批准情况将相关数据材料报财务处，财务处将扶持基金抵扣导师资助经费，不发生现金流转。如导师获得扶持基金，但学生未报到入学或中途退学，未使用的扶持基金由学校收回。</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4.为保障研究生的权益，学校按导师资助总额的5%设立风险准备金，在导师经费因意外不到位的情况下预支给应资助的研究生。</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5.院（系、所）落实导师资助专用账户管理人员，管理人员需掌握该账户的动态使用情况，如有导师资助经费不足的情况，及时上报研究生教育创新基金管理办公室。</w:t>
      </w:r>
    </w:p>
    <w:p w:rsidR="00494804" w:rsidRDefault="00494804" w:rsidP="00494804">
      <w:pPr>
        <w:spacing w:line="360" w:lineRule="auto"/>
        <w:ind w:firstLineChars="200" w:firstLine="480"/>
        <w:rPr>
          <w:rFonts w:asciiTheme="minorEastAsia" w:eastAsiaTheme="minorEastAsia" w:hAnsiTheme="minorEastAsia"/>
          <w:sz w:val="24"/>
        </w:rPr>
      </w:pPr>
      <w:bookmarkStart w:id="44" w:name="_Toc424300610"/>
      <w:r>
        <w:rPr>
          <w:rFonts w:asciiTheme="minorEastAsia" w:eastAsiaTheme="minorEastAsia" w:hAnsiTheme="minorEastAsia" w:hint="eastAsia"/>
          <w:sz w:val="24"/>
        </w:rPr>
        <w:t>（</w:t>
      </w:r>
      <w:bookmarkStart w:id="45" w:name="_Toc327452442"/>
      <w:r>
        <w:rPr>
          <w:rFonts w:asciiTheme="minorEastAsia" w:eastAsiaTheme="minorEastAsia" w:hAnsiTheme="minorEastAsia" w:hint="eastAsia"/>
          <w:sz w:val="24"/>
        </w:rPr>
        <w:t>四）超学制第一、二年助学金的管理办法</w:t>
      </w:r>
      <w:bookmarkEnd w:id="44"/>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1.名额与资助标准：</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（1）超过学制的第一年资助人数为当届招生总数的20%左右，超过学制的</w:t>
      </w:r>
      <w:r>
        <w:rPr>
          <w:rFonts w:asciiTheme="minorEastAsia" w:eastAsiaTheme="minorEastAsia" w:hAnsiTheme="minorEastAsia" w:hint="eastAsia"/>
          <w:sz w:val="24"/>
        </w:rPr>
        <w:lastRenderedPageBreak/>
        <w:t>第二年资助人数为当届招生总人数的10%左右。</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（2）标准为学校出资部分1400元/月和导师出资部分（各培养单位导师出资部分见附件3），按在校实际月份发放（全年累计发放不超过10个月，2、8月不发）。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2.遴选基本条件：</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（1）已有成果基本达到所攻读学科博士学位标准要求；</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（2）有一定培养潜力，预计可能会产生突出的科研成果；</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（3）有详尽的继续学习科研计划。</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3.评选流程：</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在学生超学制前一个月由学生提出申请，经导师同意，学院初审并公示后报研究生院。由研究生院组织专家评审，评审通过后，获资助名单报财务处，按月发放。在获得资助期间，如毕业，资助终止。</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4.导师资助：</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超学制的学生如获得助学金，其导师需相应提交资助费用（费用标准见附件3），费用按年度收取，一次性划拨到学院导师资助专用账户。</w:t>
      </w:r>
    </w:p>
    <w:p w:rsidR="00494804" w:rsidRDefault="00494804" w:rsidP="00494804">
      <w:pPr>
        <w:spacing w:line="360" w:lineRule="auto"/>
        <w:ind w:firstLineChars="200" w:firstLine="482"/>
        <w:rPr>
          <w:rFonts w:ascii="黑体" w:eastAsia="黑体" w:hAnsi="黑体"/>
          <w:b/>
          <w:bCs/>
          <w:color w:val="000000"/>
          <w:sz w:val="24"/>
        </w:rPr>
      </w:pPr>
      <w:bookmarkStart w:id="46" w:name="_Toc424300611"/>
      <w:r>
        <w:rPr>
          <w:rFonts w:ascii="黑体" w:eastAsia="黑体" w:hAnsi="黑体" w:hint="eastAsia"/>
          <w:b/>
          <w:bCs/>
          <w:color w:val="000000"/>
          <w:sz w:val="24"/>
        </w:rPr>
        <w:t>七、助研酬金</w:t>
      </w:r>
      <w:bookmarkEnd w:id="46"/>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助研酬金的发放由导师提出申请，经研究生院研究生教育创新基金管理办公室审核后，财务处予以发放。</w:t>
      </w:r>
    </w:p>
    <w:p w:rsidR="00494804" w:rsidRDefault="00494804" w:rsidP="00494804">
      <w:pPr>
        <w:spacing w:line="360" w:lineRule="auto"/>
        <w:ind w:firstLineChars="200" w:firstLine="482"/>
        <w:rPr>
          <w:rFonts w:ascii="黑体" w:eastAsia="黑体" w:hAnsi="黑体"/>
          <w:b/>
          <w:bCs/>
          <w:color w:val="000000"/>
          <w:sz w:val="24"/>
        </w:rPr>
      </w:pPr>
      <w:bookmarkStart w:id="47" w:name="_Toc424300612"/>
      <w:r>
        <w:rPr>
          <w:rFonts w:ascii="黑体" w:eastAsia="黑体" w:hAnsi="黑体" w:hint="eastAsia"/>
          <w:b/>
          <w:bCs/>
          <w:color w:val="000000"/>
          <w:sz w:val="24"/>
        </w:rPr>
        <w:t>八、助教</w:t>
      </w:r>
      <w:bookmarkEnd w:id="47"/>
    </w:p>
    <w:p w:rsidR="00494804" w:rsidRDefault="00494804" w:rsidP="00494804">
      <w:pPr>
        <w:spacing w:line="360" w:lineRule="auto"/>
        <w:ind w:firstLineChars="200" w:firstLine="480"/>
        <w:rPr>
          <w:rFonts w:asciiTheme="minorEastAsia" w:eastAsiaTheme="minorEastAsia" w:hAnsiTheme="minorEastAsia"/>
          <w:sz w:val="24"/>
        </w:rPr>
      </w:pPr>
      <w:bookmarkStart w:id="48" w:name="_Toc424300613"/>
      <w:bookmarkStart w:id="49" w:name="_Toc405358900"/>
      <w:r>
        <w:rPr>
          <w:rFonts w:asciiTheme="minorEastAsia" w:eastAsiaTheme="minorEastAsia" w:hAnsiTheme="minorEastAsia" w:hint="eastAsia"/>
          <w:sz w:val="24"/>
        </w:rPr>
        <w:t>（一）助教岗位的定义、设置和来源</w:t>
      </w:r>
      <w:bookmarkStart w:id="50" w:name="_Toc327452435"/>
      <w:bookmarkEnd w:id="48"/>
      <w:bookmarkEnd w:id="49"/>
    </w:p>
    <w:bookmarkEnd w:id="50"/>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指研究生在完成必要的教学实践任务以外，从事教学辅导、答疑、批改作业、指导实验、上习题课和协助指导生产实习等。</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助教岗位根据学校教学工作的需求情况确定，面向纳入本奖助体系的博士研究生公开聘用，由教务处依据当学期本科教学要求及当年可聘用助教的数量确定各学院（系）有关课程的助教岗位要求和设置名额。</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助教岗位酬金标准：800元/月，按学生实际上岗情况发放（2月和8月不发）。助教岗位酬金由学校承担。</w:t>
      </w:r>
      <w:bookmarkStart w:id="51" w:name="_Toc327452437"/>
    </w:p>
    <w:p w:rsidR="00494804" w:rsidRDefault="00494804" w:rsidP="00494804">
      <w:pPr>
        <w:spacing w:line="360" w:lineRule="auto"/>
        <w:ind w:firstLineChars="200" w:firstLine="480"/>
        <w:rPr>
          <w:rFonts w:asciiTheme="minorEastAsia" w:eastAsiaTheme="minorEastAsia" w:hAnsiTheme="minorEastAsia"/>
          <w:sz w:val="24"/>
        </w:rPr>
      </w:pPr>
      <w:bookmarkStart w:id="52" w:name="_Toc309057105"/>
      <w:bookmarkStart w:id="53" w:name="_Toc327452439"/>
      <w:bookmarkStart w:id="54" w:name="_Toc405358901"/>
      <w:bookmarkStart w:id="55" w:name="_Toc424300614"/>
      <w:bookmarkEnd w:id="51"/>
      <w:r>
        <w:rPr>
          <w:rFonts w:asciiTheme="minorEastAsia" w:eastAsiaTheme="minorEastAsia" w:hAnsiTheme="minorEastAsia" w:hint="eastAsia"/>
          <w:sz w:val="24"/>
        </w:rPr>
        <w:t>（二）管理办法</w:t>
      </w:r>
      <w:bookmarkStart w:id="56" w:name="_Toc327452440"/>
      <w:bookmarkEnd w:id="52"/>
      <w:bookmarkEnd w:id="53"/>
      <w:bookmarkEnd w:id="54"/>
      <w:bookmarkEnd w:id="55"/>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1.基本管理原则</w:t>
      </w:r>
      <w:bookmarkEnd w:id="56"/>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（1）研究生助教工作由学校统一协调管理。</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（2）所有助教岗位遵循“公开、公平、公正”的原则招聘。研究生从事助教工作应征得导师同意，且不影响正常学习和科研工作。</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（3）纳入本资助体系的全部博士研究生均有资格竞聘获得助教岗位。</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2.助教岗位酬金管理</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研究生助教岗位酬金由学校直接划拨至研究生教育创新基金帐户。</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3.助教岗位聘任和考核</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助教岗位聘用、解聘和考核工作实行网络化管理。研究生通过同济大学研究生教育管理信息系统，根据助教岗位要求和自身条件填写相关申请信息。各学院（系）根据学生的申请，组织审核、面试和聘任工作。</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（1）助教聘任</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研究生助教资格由聘用单位负责组织面试确定。研究生获聘后，须参加岗前培训。</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（2）助教的培训</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助教未经过培训不得上岗。助教的上岗培训由教务处组织，研究生院协助。</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（3）助教岗位工作时间要求</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生在担任助教工作期间应有一定的工作量和时间投入，同时不影响研究生的论文写作与科研工作，一年级研究生担任助教工作时间最低不少于8小时/周，不高于10小时/周；二年级及以上研究生担任助教工作时间最低不少于10小时/周，不高于12小时/周。</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（4）助教岗位工作考核</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用人单位负责对助教工作考核，根据岗位工作任务与要求，由负责指导的教师对聘任的研究生做出工作评价，按照双向选择的原则，确定对被考核研究生调岗或解聘。</w:t>
      </w:r>
      <w:bookmarkStart w:id="57" w:name="_Toc327452443"/>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4.酬金发放</w:t>
      </w:r>
      <w:bookmarkEnd w:id="57"/>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研究生院根据学生上岗情况按月发放酬金</w:t>
      </w:r>
      <w:r>
        <w:rPr>
          <w:rFonts w:asciiTheme="minorEastAsia" w:eastAsiaTheme="minorEastAsia" w:hAnsiTheme="minorEastAsia" w:hint="eastAsia"/>
          <w:spacing w:val="-20"/>
          <w:sz w:val="24"/>
        </w:rPr>
        <w:t>（</w:t>
      </w:r>
      <w:r>
        <w:rPr>
          <w:rFonts w:asciiTheme="minorEastAsia" w:eastAsiaTheme="minorEastAsia" w:hAnsiTheme="minorEastAsia" w:hint="eastAsia"/>
          <w:sz w:val="24"/>
        </w:rPr>
        <w:t>每年</w:t>
      </w:r>
      <w:r>
        <w:rPr>
          <w:rFonts w:asciiTheme="minorEastAsia" w:eastAsiaTheme="minorEastAsia" w:hAnsiTheme="minorEastAsia" w:hint="eastAsia"/>
          <w:spacing w:val="-20"/>
          <w:sz w:val="24"/>
        </w:rPr>
        <w:t>2月、8</w:t>
      </w:r>
      <w:r>
        <w:rPr>
          <w:rFonts w:asciiTheme="minorEastAsia" w:eastAsiaTheme="minorEastAsia" w:hAnsiTheme="minorEastAsia" w:hint="eastAsia"/>
          <w:sz w:val="24"/>
        </w:rPr>
        <w:t>月为假期，不聘用助教岗位）</w:t>
      </w:r>
      <w:bookmarkStart w:id="58" w:name="_Toc327452444"/>
      <w:r>
        <w:rPr>
          <w:rFonts w:asciiTheme="minorEastAsia" w:eastAsiaTheme="minorEastAsia" w:hAnsiTheme="minorEastAsia" w:hint="eastAsia"/>
          <w:spacing w:val="-20"/>
          <w:sz w:val="24"/>
        </w:rPr>
        <w:t>。</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5.助教岗位解聘  </w:t>
      </w:r>
      <w:bookmarkEnd w:id="58"/>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如获助教岗位的研究生有以下任一情况发生，停止聘用和酬金发放：</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（1）研究生因任何原因中止或终止学业；</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（2）研究生违反校纪校规；</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（3）研究生工作不投入、工作态度不认真；或工作有重大失误并带来不良影响；</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（4）违反同济大学研究生学术行为规范</w:t>
      </w:r>
      <w:r>
        <w:rPr>
          <w:rFonts w:asciiTheme="minorEastAsia" w:eastAsiaTheme="minorEastAsia" w:hAnsiTheme="minorEastAsia"/>
          <w:sz w:val="24"/>
          <w:vertAlign w:val="superscript"/>
        </w:rPr>
        <w:footnoteReference w:id="3"/>
      </w:r>
      <w:r>
        <w:rPr>
          <w:rFonts w:asciiTheme="minorEastAsia" w:eastAsiaTheme="minorEastAsia" w:hAnsiTheme="minorEastAsia" w:hint="eastAsia"/>
          <w:sz w:val="24"/>
        </w:rPr>
        <w:t>并被认定；</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（5）获聘研究生擅自离岗累计超过一月者；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（6）获聘研究生提出解除聘用；</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（7）获聘研究生请假离岗超过一月者；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（8）未按时办理报到注册手续超过4周；</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（9）导师或聘用单位认为需要解聘者；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（10）其它不能完成助教岗位要求的情况。</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在上述（2）～（5）情况下，研究生不得再次上岗。</w:t>
      </w:r>
    </w:p>
    <w:p w:rsidR="00494804" w:rsidRDefault="00494804" w:rsidP="00494804">
      <w:pPr>
        <w:spacing w:line="360" w:lineRule="auto"/>
        <w:ind w:firstLineChars="200" w:firstLine="482"/>
        <w:rPr>
          <w:rFonts w:ascii="黑体" w:eastAsia="黑体" w:hAnsi="黑体"/>
          <w:b/>
          <w:bCs/>
          <w:color w:val="000000"/>
          <w:sz w:val="24"/>
        </w:rPr>
      </w:pPr>
      <w:bookmarkStart w:id="59" w:name="_Toc424300615"/>
      <w:r>
        <w:rPr>
          <w:rFonts w:ascii="黑体" w:eastAsia="黑体" w:hAnsi="黑体" w:hint="eastAsia"/>
          <w:b/>
          <w:bCs/>
          <w:color w:val="000000"/>
          <w:sz w:val="24"/>
        </w:rPr>
        <w:t>九、博士研究生奖学金</w:t>
      </w:r>
      <w:bookmarkEnd w:id="59"/>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博士研究生奖学金主要包括：博士研究生国家奖学金、同济大学优秀博士新生奖学金、同济大学优秀博士生奖学金、同济大学研究生社会活动奖学金和社会捐赠奖学金等。</w:t>
      </w:r>
    </w:p>
    <w:p w:rsidR="00494804" w:rsidRDefault="00494804" w:rsidP="00494804">
      <w:pPr>
        <w:spacing w:line="360" w:lineRule="auto"/>
        <w:ind w:firstLineChars="200" w:firstLine="480"/>
        <w:rPr>
          <w:rFonts w:asciiTheme="minorEastAsia" w:eastAsiaTheme="minorEastAsia" w:hAnsiTheme="minorEastAsia"/>
          <w:sz w:val="24"/>
        </w:rPr>
      </w:pPr>
      <w:bookmarkStart w:id="60" w:name="_Toc424300616"/>
      <w:r>
        <w:rPr>
          <w:rFonts w:asciiTheme="minorEastAsia" w:eastAsiaTheme="minorEastAsia" w:hAnsiTheme="minorEastAsia" w:hint="eastAsia"/>
          <w:sz w:val="24"/>
        </w:rPr>
        <w:t>（一）博士研究生国家奖学金</w:t>
      </w:r>
      <w:bookmarkEnd w:id="60"/>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评选办法见《同济大学研究生国家奖学金评审实施细则》。</w:t>
      </w:r>
    </w:p>
    <w:p w:rsidR="00494804" w:rsidRDefault="00494804" w:rsidP="00494804">
      <w:pPr>
        <w:spacing w:line="360" w:lineRule="auto"/>
        <w:ind w:firstLineChars="200" w:firstLine="480"/>
        <w:rPr>
          <w:rFonts w:asciiTheme="minorEastAsia" w:eastAsiaTheme="minorEastAsia" w:hAnsiTheme="minorEastAsia"/>
          <w:sz w:val="24"/>
        </w:rPr>
      </w:pPr>
      <w:bookmarkStart w:id="61" w:name="_Toc424300617"/>
      <w:r>
        <w:rPr>
          <w:rFonts w:asciiTheme="minorEastAsia" w:eastAsiaTheme="minorEastAsia" w:hAnsiTheme="minorEastAsia" w:hint="eastAsia"/>
          <w:sz w:val="24"/>
        </w:rPr>
        <w:t>（二）同济大学优秀博士新生奖学金</w:t>
      </w:r>
      <w:bookmarkEnd w:id="61"/>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新生入学时，设数量为当年招生人数的11%左右的新生奖学金，标准0.5万/人，鼓励入学时成绩优秀、具有良好的教育经历及较强的科研能力的博士生。</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该阶段奖学金在招生工作中评定。</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1.奖励优质生源的直博生。具体要求：</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（1）本科来自学科评估前30%或原全国重点学科专业，本科成绩排名在所在专业前10%的直博生（包含本校直博生）。</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（2）本科来自985工程院校，本科成绩排名在所在专业前10%的直博生（包含本校直博生）。</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2.奖励有突出科研能力的硕博连读生。具体要求：在申请硕博连读时，已有</w:t>
      </w:r>
      <w:r>
        <w:rPr>
          <w:rFonts w:asciiTheme="minorEastAsia" w:eastAsiaTheme="minorEastAsia" w:hAnsiTheme="minorEastAsia" w:hint="eastAsia"/>
          <w:sz w:val="24"/>
        </w:rPr>
        <w:lastRenderedPageBreak/>
        <w:t>科研成果达到所攻读学科我校博士学位标准所要求成果的一半。</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3.奖励有突出科研能力的普通招考全日制博士生。具体要求：已有成果达到其所攻读学科我校博士学位标准所要求成果的一半。</w:t>
      </w:r>
    </w:p>
    <w:p w:rsidR="00494804" w:rsidRDefault="00494804" w:rsidP="00494804">
      <w:pPr>
        <w:spacing w:line="360" w:lineRule="auto"/>
        <w:ind w:firstLineChars="200" w:firstLine="480"/>
        <w:rPr>
          <w:rFonts w:asciiTheme="minorEastAsia" w:eastAsiaTheme="minorEastAsia" w:hAnsiTheme="minorEastAsia"/>
          <w:sz w:val="24"/>
        </w:rPr>
      </w:pPr>
      <w:bookmarkStart w:id="62" w:name="_Toc424300618"/>
      <w:r>
        <w:rPr>
          <w:rFonts w:asciiTheme="minorEastAsia" w:eastAsiaTheme="minorEastAsia" w:hAnsiTheme="minorEastAsia" w:hint="eastAsia"/>
          <w:sz w:val="24"/>
        </w:rPr>
        <w:t>（三）同济大学优秀博士生奖学金</w:t>
      </w:r>
      <w:bookmarkEnd w:id="62"/>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评选办法见《同济大学研究生奖学金管理办法》。</w:t>
      </w:r>
    </w:p>
    <w:p w:rsidR="00494804" w:rsidRDefault="00494804" w:rsidP="00494804">
      <w:pPr>
        <w:spacing w:line="360" w:lineRule="auto"/>
        <w:ind w:firstLineChars="200" w:firstLine="480"/>
        <w:rPr>
          <w:rFonts w:asciiTheme="minorEastAsia" w:eastAsiaTheme="minorEastAsia" w:hAnsiTheme="minorEastAsia"/>
          <w:sz w:val="24"/>
        </w:rPr>
      </w:pPr>
      <w:bookmarkStart w:id="63" w:name="_Toc424300619"/>
      <w:r>
        <w:rPr>
          <w:rFonts w:asciiTheme="minorEastAsia" w:eastAsiaTheme="minorEastAsia" w:hAnsiTheme="minorEastAsia" w:hint="eastAsia"/>
          <w:sz w:val="24"/>
        </w:rPr>
        <w:t>（四）同济大学研究生社会活动奖学金</w:t>
      </w:r>
      <w:bookmarkEnd w:id="63"/>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评选办法见《同济大学研究生奖学金管理办法》。</w:t>
      </w:r>
    </w:p>
    <w:p w:rsidR="00494804" w:rsidRDefault="00494804" w:rsidP="00494804">
      <w:pPr>
        <w:spacing w:line="360" w:lineRule="auto"/>
        <w:ind w:firstLineChars="200" w:firstLine="480"/>
        <w:rPr>
          <w:rFonts w:asciiTheme="minorEastAsia" w:eastAsiaTheme="minorEastAsia" w:hAnsiTheme="minorEastAsia"/>
          <w:sz w:val="24"/>
        </w:rPr>
      </w:pPr>
      <w:bookmarkStart w:id="64" w:name="_Toc424300620"/>
      <w:r>
        <w:rPr>
          <w:rFonts w:asciiTheme="minorEastAsia" w:eastAsiaTheme="minorEastAsia" w:hAnsiTheme="minorEastAsia" w:hint="eastAsia"/>
          <w:sz w:val="24"/>
        </w:rPr>
        <w:t>（五）社会捐赠奖学金</w:t>
      </w:r>
      <w:bookmarkEnd w:id="64"/>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评选办法见《同济大学研究生奖学金管理办法》及相应的捐赠协议。</w:t>
      </w:r>
    </w:p>
    <w:p w:rsidR="00494804" w:rsidRDefault="00494804" w:rsidP="00494804">
      <w:pPr>
        <w:spacing w:line="360" w:lineRule="auto"/>
        <w:ind w:firstLineChars="200" w:firstLine="482"/>
        <w:rPr>
          <w:rFonts w:ascii="黑体" w:eastAsia="黑体" w:hAnsi="黑体"/>
          <w:b/>
          <w:bCs/>
          <w:color w:val="000000"/>
          <w:sz w:val="24"/>
        </w:rPr>
      </w:pPr>
      <w:bookmarkStart w:id="65" w:name="_Toc424300621"/>
      <w:r>
        <w:rPr>
          <w:rFonts w:ascii="黑体" w:eastAsia="黑体" w:hAnsi="黑体" w:hint="eastAsia"/>
          <w:b/>
          <w:bCs/>
          <w:color w:val="000000"/>
          <w:sz w:val="24"/>
        </w:rPr>
        <w:t>十、</w:t>
      </w:r>
      <w:bookmarkStart w:id="66" w:name="_Toc309057106"/>
      <w:bookmarkStart w:id="67" w:name="_Toc327452445"/>
      <w:bookmarkEnd w:id="45"/>
      <w:r>
        <w:rPr>
          <w:rFonts w:ascii="黑体" w:eastAsia="黑体" w:hAnsi="黑体" w:hint="eastAsia"/>
          <w:b/>
          <w:bCs/>
          <w:color w:val="000000"/>
          <w:sz w:val="24"/>
        </w:rPr>
        <w:t>国际</w:t>
      </w:r>
      <w:bookmarkEnd w:id="66"/>
      <w:r>
        <w:rPr>
          <w:rFonts w:ascii="黑体" w:eastAsia="黑体" w:hAnsi="黑体" w:hint="eastAsia"/>
          <w:b/>
          <w:bCs/>
          <w:color w:val="000000"/>
          <w:sz w:val="24"/>
        </w:rPr>
        <w:t>及港澳台交流学生奖助金的管理</w:t>
      </w:r>
      <w:bookmarkEnd w:id="65"/>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为</w:t>
      </w:r>
      <w:bookmarkEnd w:id="67"/>
      <w:r>
        <w:rPr>
          <w:rFonts w:asciiTheme="minorEastAsia" w:eastAsiaTheme="minorEastAsia" w:hAnsiTheme="minorEastAsia" w:hint="eastAsia"/>
          <w:sz w:val="24"/>
        </w:rPr>
        <w:t>加强博士研究生的国际及港澳台交流，对参加同济大学交流项目、在境外交流期间的博士研究生实行以下奖助管理规定：</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国际及港澳台交流学生凭同济大学因公出国、赴港澳台任务批件，由学生本人或院系提出申请，学业奖学金按照该生出国前或实际情况的学业奖学金类型及其所在年级和学制照常发放。第一次中期考核缓考核的学生，暂缓发放下一阶段的学业奖学金，可先自行缴纳学费，待中期考核通过后补发下一阶段的学业奖学金。</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2.助学金在学制内正常发放。</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3.助教岗位由岗位负责人解聘，待博士研究生回国报到后可重新申请助教岗位。助教岗位到研究生满学制时即终止聘用。</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4.可正常申请博士研究生奖学金。</w:t>
      </w:r>
    </w:p>
    <w:p w:rsidR="00494804" w:rsidRDefault="00494804" w:rsidP="00494804">
      <w:pPr>
        <w:spacing w:line="360" w:lineRule="auto"/>
        <w:ind w:firstLineChars="200" w:firstLine="482"/>
        <w:rPr>
          <w:rFonts w:ascii="黑体" w:eastAsia="黑体" w:hAnsi="黑体"/>
          <w:b/>
          <w:bCs/>
          <w:color w:val="000000"/>
          <w:sz w:val="24"/>
        </w:rPr>
      </w:pPr>
      <w:bookmarkStart w:id="68" w:name="_Toc424300622"/>
      <w:r>
        <w:rPr>
          <w:rFonts w:ascii="黑体" w:eastAsia="黑体" w:hAnsi="黑体" w:hint="eastAsia"/>
          <w:b/>
          <w:bCs/>
          <w:color w:val="000000"/>
          <w:sz w:val="24"/>
        </w:rPr>
        <w:t>十一、其他</w:t>
      </w:r>
      <w:bookmarkEnd w:id="68"/>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本办法由同济大学研究生院负责解释。</w:t>
      </w:r>
    </w:p>
    <w:p w:rsidR="00494804" w:rsidRDefault="00494804" w:rsidP="00494804">
      <w:pPr>
        <w:spacing w:line="360" w:lineRule="auto"/>
        <w:ind w:firstLineChars="200" w:firstLine="480"/>
        <w:rPr>
          <w:rFonts w:asciiTheme="minorEastAsia" w:eastAsiaTheme="minorEastAsia" w:hAnsiTheme="minorEastAsia"/>
          <w:sz w:val="24"/>
        </w:rPr>
      </w:pPr>
    </w:p>
    <w:p w:rsidR="00494804" w:rsidRDefault="00494804" w:rsidP="00494804">
      <w:pPr>
        <w:spacing w:line="360" w:lineRule="auto"/>
        <w:ind w:firstLineChars="200" w:firstLine="482"/>
        <w:rPr>
          <w:rFonts w:asciiTheme="minorEastAsia" w:eastAsiaTheme="minorEastAsia" w:hAnsiTheme="minorEastAsia"/>
          <w:sz w:val="24"/>
        </w:rPr>
      </w:pPr>
      <w:r>
        <w:rPr>
          <w:rFonts w:ascii="黑体" w:eastAsia="黑体" w:hAnsi="黑体" w:hint="eastAsia"/>
          <w:b/>
          <w:bCs/>
          <w:color w:val="000000"/>
          <w:sz w:val="24"/>
        </w:rPr>
        <w:t>附件：</w:t>
      </w:r>
      <w:r>
        <w:rPr>
          <w:rFonts w:asciiTheme="minorEastAsia" w:eastAsiaTheme="minorEastAsia" w:hAnsiTheme="minorEastAsia" w:hint="eastAsia"/>
          <w:sz w:val="24"/>
        </w:rPr>
        <w:t>1.博士研究生奖助方案简况表（学制内）</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2.博士研究生奖助方案简况表（超过学制第一、二年）</w:t>
      </w:r>
    </w:p>
    <w:p w:rsidR="00494804" w:rsidRDefault="00494804" w:rsidP="0049480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3.博士研究生助学金导师出资部分汇总表</w:t>
      </w:r>
    </w:p>
    <w:p w:rsidR="00494804" w:rsidRDefault="00494804" w:rsidP="00494804">
      <w:pPr>
        <w:spacing w:line="360" w:lineRule="auto"/>
        <w:ind w:firstLineChars="200" w:firstLine="480"/>
        <w:rPr>
          <w:rFonts w:asciiTheme="minorEastAsia" w:eastAsiaTheme="minorEastAsia" w:hAnsiTheme="minorEastAsia"/>
          <w:bCs/>
          <w:sz w:val="24"/>
        </w:rPr>
      </w:pPr>
    </w:p>
    <w:p w:rsidR="00494804" w:rsidRDefault="00494804" w:rsidP="00494804">
      <w:pPr>
        <w:spacing w:line="360" w:lineRule="auto"/>
        <w:ind w:firstLineChars="200" w:firstLine="480"/>
        <w:rPr>
          <w:rFonts w:asciiTheme="minorEastAsia" w:eastAsiaTheme="minorEastAsia" w:hAnsiTheme="minorEastAsia"/>
          <w:bCs/>
          <w:sz w:val="24"/>
        </w:rPr>
      </w:pPr>
      <w:bookmarkStart w:id="69" w:name="_Toc424300623"/>
    </w:p>
    <w:p w:rsidR="00494804" w:rsidRDefault="00494804" w:rsidP="00494804">
      <w:pPr>
        <w:spacing w:line="360" w:lineRule="auto"/>
        <w:rPr>
          <w:rFonts w:ascii="黑体" w:eastAsia="黑体" w:hAnsi="黑体"/>
          <w:b/>
          <w:bCs/>
          <w:color w:val="000000"/>
          <w:sz w:val="24"/>
        </w:rPr>
      </w:pPr>
      <w:r>
        <w:rPr>
          <w:rFonts w:ascii="黑体" w:eastAsia="黑体" w:hAnsi="黑体" w:hint="eastAsia"/>
          <w:b/>
          <w:bCs/>
          <w:color w:val="000000"/>
          <w:sz w:val="24"/>
        </w:rPr>
        <w:lastRenderedPageBreak/>
        <w:t>附件1</w:t>
      </w:r>
    </w:p>
    <w:p w:rsidR="00494804" w:rsidRDefault="00494804" w:rsidP="00494804">
      <w:pPr>
        <w:widowControl/>
        <w:spacing w:line="360" w:lineRule="auto"/>
        <w:jc w:val="center"/>
        <w:rPr>
          <w:rFonts w:ascii="方正小标宋简体" w:eastAsia="方正小标宋简体" w:hAnsi="宋体"/>
          <w:sz w:val="32"/>
          <w:szCs w:val="32"/>
        </w:rPr>
      </w:pPr>
      <w:r>
        <w:rPr>
          <w:rFonts w:ascii="方正小标宋简体" w:eastAsia="方正小标宋简体" w:hAnsi="宋体" w:hint="eastAsia"/>
          <w:sz w:val="32"/>
          <w:szCs w:val="32"/>
        </w:rPr>
        <w:t>博士研究生奖助方案简况表（学制内）</w:t>
      </w:r>
      <w:bookmarkEnd w:id="69"/>
    </w:p>
    <w:tbl>
      <w:tblPr>
        <w:tblW w:w="8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978"/>
        <w:gridCol w:w="850"/>
        <w:gridCol w:w="4644"/>
        <w:gridCol w:w="1688"/>
      </w:tblGrid>
      <w:tr w:rsidR="00494804" w:rsidTr="007F330C">
        <w:trPr>
          <w:trHeight w:hRule="exact" w:val="510"/>
          <w:jc w:val="center"/>
        </w:trPr>
        <w:tc>
          <w:tcPr>
            <w:tcW w:w="1526" w:type="dxa"/>
            <w:gridSpan w:val="2"/>
            <w:vAlign w:val="center"/>
          </w:tcPr>
          <w:p w:rsidR="00494804" w:rsidRDefault="00494804" w:rsidP="007F330C">
            <w:pPr>
              <w:adjustRightInd w:val="0"/>
              <w:snapToGrid w:val="0"/>
              <w:jc w:val="center"/>
              <w:rPr>
                <w:rFonts w:ascii="仿宋_GB2312" w:eastAsia="仿宋_GB2312" w:hAnsi="宋体" w:cs="宋体"/>
                <w:kern w:val="0"/>
                <w:sz w:val="24"/>
              </w:rPr>
            </w:pP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p>
        </w:tc>
        <w:tc>
          <w:tcPr>
            <w:tcW w:w="4644" w:type="dxa"/>
            <w:vAlign w:val="center"/>
          </w:tcPr>
          <w:p w:rsidR="00494804" w:rsidRDefault="00494804" w:rsidP="007F330C">
            <w:pPr>
              <w:adjustRightInd w:val="0"/>
              <w:snapToGrid w:val="0"/>
              <w:jc w:val="center"/>
              <w:rPr>
                <w:rFonts w:ascii="仿宋_GB2312" w:eastAsia="仿宋_GB2312"/>
                <w:sz w:val="24"/>
              </w:rPr>
            </w:pPr>
            <w:r>
              <w:rPr>
                <w:rFonts w:ascii="仿宋_GB2312" w:eastAsia="仿宋_GB2312" w:hint="eastAsia"/>
                <w:b/>
                <w:sz w:val="24"/>
              </w:rPr>
              <w:t>博士</w:t>
            </w:r>
          </w:p>
        </w:tc>
        <w:tc>
          <w:tcPr>
            <w:tcW w:w="1688" w:type="dxa"/>
            <w:vAlign w:val="center"/>
          </w:tcPr>
          <w:p w:rsidR="00494804" w:rsidRDefault="00494804" w:rsidP="007F330C">
            <w:pPr>
              <w:adjustRightInd w:val="0"/>
              <w:snapToGrid w:val="0"/>
              <w:jc w:val="center"/>
              <w:rPr>
                <w:rFonts w:ascii="仿宋_GB2312" w:eastAsia="仿宋_GB2312"/>
                <w:b/>
                <w:sz w:val="24"/>
              </w:rPr>
            </w:pPr>
            <w:r>
              <w:rPr>
                <w:rFonts w:ascii="仿宋_GB2312" w:eastAsia="仿宋_GB2312" w:hint="eastAsia"/>
                <w:b/>
                <w:sz w:val="24"/>
              </w:rPr>
              <w:t>备注</w:t>
            </w:r>
          </w:p>
        </w:tc>
      </w:tr>
      <w:tr w:rsidR="00494804" w:rsidTr="007F330C">
        <w:trPr>
          <w:trHeight w:hRule="exact" w:val="996"/>
          <w:jc w:val="center"/>
        </w:trPr>
        <w:tc>
          <w:tcPr>
            <w:tcW w:w="1526" w:type="dxa"/>
            <w:gridSpan w:val="2"/>
            <w:vMerge w:val="restart"/>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学业奖学金</w:t>
            </w: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644" w:type="dxa"/>
            <w:vAlign w:val="center"/>
          </w:tcPr>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非定向就业学术型博士、非定向就业专业学位博士研究生和非在职少高计划博士研究生</w:t>
            </w:r>
          </w:p>
        </w:tc>
        <w:tc>
          <w:tcPr>
            <w:tcW w:w="1688" w:type="dxa"/>
          </w:tcPr>
          <w:p w:rsidR="00494804" w:rsidRDefault="00494804" w:rsidP="007F330C">
            <w:pPr>
              <w:adjustRightInd w:val="0"/>
              <w:snapToGrid w:val="0"/>
              <w:ind w:firstLine="400"/>
              <w:rPr>
                <w:rFonts w:ascii="仿宋_GB2312" w:eastAsia="仿宋_GB2312"/>
                <w:sz w:val="24"/>
              </w:rPr>
            </w:pPr>
          </w:p>
        </w:tc>
      </w:tr>
      <w:tr w:rsidR="00494804" w:rsidTr="007F330C">
        <w:trPr>
          <w:trHeight w:hRule="exact" w:val="567"/>
          <w:jc w:val="center"/>
        </w:trPr>
        <w:tc>
          <w:tcPr>
            <w:tcW w:w="1526" w:type="dxa"/>
            <w:gridSpan w:val="2"/>
            <w:vMerge/>
            <w:vAlign w:val="center"/>
          </w:tcPr>
          <w:p w:rsidR="00494804" w:rsidRDefault="00494804" w:rsidP="007F330C">
            <w:pPr>
              <w:adjustRightInd w:val="0"/>
              <w:snapToGrid w:val="0"/>
              <w:jc w:val="center"/>
              <w:rPr>
                <w:rFonts w:ascii="仿宋_GB2312" w:eastAsia="仿宋_GB2312" w:hAnsi="宋体" w:cs="宋体"/>
                <w:kern w:val="0"/>
                <w:sz w:val="24"/>
              </w:rPr>
            </w:pP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644" w:type="dxa"/>
            <w:vAlign w:val="center"/>
          </w:tcPr>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1万元/学年</w:t>
            </w:r>
          </w:p>
        </w:tc>
        <w:tc>
          <w:tcPr>
            <w:tcW w:w="1688" w:type="dxa"/>
          </w:tcPr>
          <w:p w:rsidR="00494804" w:rsidRDefault="00494804" w:rsidP="007F330C">
            <w:pPr>
              <w:adjustRightInd w:val="0"/>
              <w:snapToGrid w:val="0"/>
              <w:ind w:firstLine="400"/>
              <w:rPr>
                <w:rFonts w:ascii="仿宋_GB2312" w:eastAsia="仿宋_GB2312"/>
                <w:sz w:val="24"/>
              </w:rPr>
            </w:pPr>
          </w:p>
        </w:tc>
      </w:tr>
      <w:tr w:rsidR="00494804" w:rsidTr="007F330C">
        <w:trPr>
          <w:trHeight w:hRule="exact" w:val="567"/>
          <w:jc w:val="center"/>
        </w:trPr>
        <w:tc>
          <w:tcPr>
            <w:tcW w:w="1526" w:type="dxa"/>
            <w:gridSpan w:val="2"/>
            <w:vMerge/>
            <w:vAlign w:val="center"/>
          </w:tcPr>
          <w:p w:rsidR="00494804" w:rsidRDefault="00494804" w:rsidP="007F330C">
            <w:pPr>
              <w:adjustRightInd w:val="0"/>
              <w:snapToGrid w:val="0"/>
              <w:jc w:val="center"/>
              <w:rPr>
                <w:rFonts w:ascii="仿宋_GB2312" w:eastAsia="仿宋_GB2312" w:hAnsi="宋体" w:cs="宋体"/>
                <w:kern w:val="0"/>
                <w:sz w:val="24"/>
              </w:rPr>
            </w:pP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调整</w:t>
            </w:r>
          </w:p>
        </w:tc>
        <w:tc>
          <w:tcPr>
            <w:tcW w:w="4644" w:type="dxa"/>
            <w:vAlign w:val="center"/>
          </w:tcPr>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每年进行调整，不合格淘汰制</w:t>
            </w:r>
          </w:p>
        </w:tc>
        <w:tc>
          <w:tcPr>
            <w:tcW w:w="1688" w:type="dxa"/>
          </w:tcPr>
          <w:p w:rsidR="00494804" w:rsidRDefault="00494804" w:rsidP="007F330C">
            <w:pPr>
              <w:adjustRightInd w:val="0"/>
              <w:snapToGrid w:val="0"/>
              <w:ind w:firstLine="400"/>
              <w:rPr>
                <w:rFonts w:ascii="仿宋_GB2312" w:eastAsia="仿宋_GB2312"/>
                <w:sz w:val="24"/>
              </w:rPr>
            </w:pPr>
          </w:p>
        </w:tc>
      </w:tr>
      <w:tr w:rsidR="00494804" w:rsidTr="007F330C">
        <w:trPr>
          <w:trHeight w:hRule="exact" w:val="726"/>
          <w:jc w:val="center"/>
        </w:trPr>
        <w:tc>
          <w:tcPr>
            <w:tcW w:w="548" w:type="dxa"/>
            <w:vMerge w:val="restart"/>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助学金</w:t>
            </w:r>
          </w:p>
        </w:tc>
        <w:tc>
          <w:tcPr>
            <w:tcW w:w="978" w:type="dxa"/>
            <w:vMerge w:val="restart"/>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非定向博士研究生</w:t>
            </w: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644" w:type="dxa"/>
            <w:vAlign w:val="center"/>
          </w:tcPr>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非定向学术型博士和非定向专业学位博士研究生</w:t>
            </w:r>
          </w:p>
        </w:tc>
        <w:tc>
          <w:tcPr>
            <w:tcW w:w="1688" w:type="dxa"/>
          </w:tcPr>
          <w:p w:rsidR="00494804" w:rsidRDefault="00494804" w:rsidP="007F330C">
            <w:pPr>
              <w:adjustRightInd w:val="0"/>
              <w:snapToGrid w:val="0"/>
              <w:ind w:firstLine="400"/>
              <w:rPr>
                <w:rFonts w:ascii="仿宋_GB2312" w:eastAsia="仿宋_GB2312"/>
                <w:sz w:val="24"/>
              </w:rPr>
            </w:pPr>
          </w:p>
        </w:tc>
      </w:tr>
      <w:tr w:rsidR="00494804" w:rsidTr="007F330C">
        <w:trPr>
          <w:trHeight w:hRule="exact" w:val="636"/>
          <w:jc w:val="center"/>
        </w:trPr>
        <w:tc>
          <w:tcPr>
            <w:tcW w:w="548" w:type="dxa"/>
            <w:vMerge/>
            <w:vAlign w:val="center"/>
          </w:tcPr>
          <w:p w:rsidR="00494804" w:rsidRDefault="00494804" w:rsidP="007F330C">
            <w:pPr>
              <w:widowControl/>
              <w:adjustRightInd w:val="0"/>
              <w:snapToGrid w:val="0"/>
              <w:ind w:firstLine="400"/>
              <w:jc w:val="center"/>
              <w:rPr>
                <w:rFonts w:ascii="仿宋_GB2312" w:eastAsia="仿宋_GB2312"/>
                <w:sz w:val="24"/>
              </w:rPr>
            </w:pPr>
          </w:p>
        </w:tc>
        <w:tc>
          <w:tcPr>
            <w:tcW w:w="978" w:type="dxa"/>
            <w:vMerge/>
            <w:vAlign w:val="center"/>
          </w:tcPr>
          <w:p w:rsidR="00494804" w:rsidRDefault="00494804" w:rsidP="007F330C">
            <w:pPr>
              <w:adjustRightInd w:val="0"/>
              <w:snapToGrid w:val="0"/>
              <w:jc w:val="center"/>
              <w:rPr>
                <w:rFonts w:ascii="仿宋_GB2312" w:eastAsia="仿宋_GB2312" w:hAnsi="宋体" w:cs="宋体"/>
                <w:kern w:val="0"/>
                <w:sz w:val="24"/>
              </w:rPr>
            </w:pP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644" w:type="dxa"/>
            <w:vAlign w:val="center"/>
          </w:tcPr>
          <w:p w:rsidR="00494804" w:rsidRDefault="00494804" w:rsidP="007F330C">
            <w:pPr>
              <w:adjustRightInd w:val="0"/>
              <w:snapToGrid w:val="0"/>
              <w:rPr>
                <w:rFonts w:ascii="仿宋_GB2312" w:eastAsia="仿宋_GB2312"/>
                <w:sz w:val="24"/>
                <w:shd w:val="pct10" w:color="auto" w:fill="FFFFFF"/>
              </w:rPr>
            </w:pPr>
            <w:r>
              <w:rPr>
                <w:rFonts w:ascii="仿宋_GB2312" w:eastAsia="仿宋_GB2312" w:hint="eastAsia"/>
                <w:sz w:val="24"/>
              </w:rPr>
              <w:t>学校1400元/月+导师出资（各培养单位导师出资部分见附件3）</w:t>
            </w:r>
          </w:p>
        </w:tc>
        <w:tc>
          <w:tcPr>
            <w:tcW w:w="1688"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以十个月计</w:t>
            </w:r>
          </w:p>
        </w:tc>
      </w:tr>
      <w:tr w:rsidR="00494804" w:rsidTr="007F330C">
        <w:trPr>
          <w:trHeight w:hRule="exact" w:val="567"/>
          <w:jc w:val="center"/>
        </w:trPr>
        <w:tc>
          <w:tcPr>
            <w:tcW w:w="548" w:type="dxa"/>
            <w:vMerge/>
            <w:vAlign w:val="center"/>
          </w:tcPr>
          <w:p w:rsidR="00494804" w:rsidRDefault="00494804" w:rsidP="007F330C">
            <w:pPr>
              <w:adjustRightInd w:val="0"/>
              <w:snapToGrid w:val="0"/>
              <w:jc w:val="center"/>
              <w:rPr>
                <w:rFonts w:ascii="仿宋_GB2312" w:eastAsia="仿宋_GB2312" w:hAnsi="宋体" w:cs="宋体"/>
                <w:kern w:val="0"/>
                <w:sz w:val="24"/>
              </w:rPr>
            </w:pPr>
          </w:p>
        </w:tc>
        <w:tc>
          <w:tcPr>
            <w:tcW w:w="978" w:type="dxa"/>
            <w:vMerge w:val="restart"/>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少高计划博士研究生</w:t>
            </w: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644" w:type="dxa"/>
            <w:vAlign w:val="center"/>
          </w:tcPr>
          <w:p w:rsidR="00494804" w:rsidRDefault="00494804" w:rsidP="007F330C">
            <w:pPr>
              <w:adjustRightInd w:val="0"/>
              <w:snapToGrid w:val="0"/>
              <w:rPr>
                <w:rFonts w:ascii="仿宋_GB2312" w:eastAsia="仿宋_GB2312"/>
                <w:sz w:val="24"/>
              </w:rPr>
            </w:pPr>
            <w:r>
              <w:rPr>
                <w:rFonts w:ascii="仿宋_GB2312" w:eastAsia="仿宋_GB2312" w:hint="eastAsia"/>
                <w:sz w:val="24"/>
              </w:rPr>
              <w:t>少高计划博士研究生</w:t>
            </w:r>
          </w:p>
        </w:tc>
        <w:tc>
          <w:tcPr>
            <w:tcW w:w="1688" w:type="dxa"/>
            <w:vAlign w:val="center"/>
          </w:tcPr>
          <w:p w:rsidR="00494804" w:rsidRDefault="00494804" w:rsidP="007F330C">
            <w:pPr>
              <w:adjustRightInd w:val="0"/>
              <w:snapToGrid w:val="0"/>
              <w:jc w:val="center"/>
              <w:rPr>
                <w:rFonts w:ascii="仿宋_GB2312" w:eastAsia="仿宋_GB2312" w:hAnsi="宋体" w:cs="宋体"/>
                <w:kern w:val="0"/>
                <w:sz w:val="24"/>
              </w:rPr>
            </w:pPr>
          </w:p>
        </w:tc>
      </w:tr>
      <w:tr w:rsidR="00494804" w:rsidTr="007F330C">
        <w:trPr>
          <w:trHeight w:hRule="exact" w:val="567"/>
          <w:jc w:val="center"/>
        </w:trPr>
        <w:tc>
          <w:tcPr>
            <w:tcW w:w="548" w:type="dxa"/>
            <w:vMerge/>
            <w:vAlign w:val="center"/>
          </w:tcPr>
          <w:p w:rsidR="00494804" w:rsidRDefault="00494804" w:rsidP="007F330C">
            <w:pPr>
              <w:adjustRightInd w:val="0"/>
              <w:snapToGrid w:val="0"/>
              <w:jc w:val="center"/>
              <w:rPr>
                <w:rFonts w:ascii="仿宋_GB2312" w:eastAsia="仿宋_GB2312" w:hAnsi="宋体" w:cs="宋体"/>
                <w:kern w:val="0"/>
                <w:sz w:val="24"/>
              </w:rPr>
            </w:pPr>
          </w:p>
        </w:tc>
        <w:tc>
          <w:tcPr>
            <w:tcW w:w="978" w:type="dxa"/>
            <w:vMerge/>
          </w:tcPr>
          <w:p w:rsidR="00494804" w:rsidRDefault="00494804" w:rsidP="007F330C">
            <w:pPr>
              <w:adjustRightInd w:val="0"/>
              <w:snapToGrid w:val="0"/>
              <w:jc w:val="center"/>
              <w:rPr>
                <w:rFonts w:ascii="仿宋_GB2312" w:eastAsia="仿宋_GB2312" w:hAnsi="宋体" w:cs="宋体"/>
                <w:kern w:val="0"/>
                <w:sz w:val="24"/>
              </w:rPr>
            </w:pP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644" w:type="dxa"/>
            <w:vAlign w:val="center"/>
          </w:tcPr>
          <w:p w:rsidR="00494804" w:rsidRDefault="00494804" w:rsidP="007F330C">
            <w:pPr>
              <w:adjustRightInd w:val="0"/>
              <w:snapToGrid w:val="0"/>
              <w:rPr>
                <w:rFonts w:ascii="仿宋_GB2312" w:eastAsia="仿宋_GB2312"/>
                <w:sz w:val="24"/>
              </w:rPr>
            </w:pPr>
            <w:r>
              <w:rPr>
                <w:rFonts w:ascii="仿宋_GB2312" w:eastAsia="仿宋_GB2312" w:hint="eastAsia"/>
                <w:sz w:val="24"/>
              </w:rPr>
              <w:t>1200元/月</w:t>
            </w:r>
          </w:p>
        </w:tc>
        <w:tc>
          <w:tcPr>
            <w:tcW w:w="1688"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以十个月计</w:t>
            </w:r>
          </w:p>
        </w:tc>
      </w:tr>
      <w:tr w:rsidR="00494804" w:rsidTr="007F330C">
        <w:trPr>
          <w:trHeight w:hRule="exact" w:val="1042"/>
          <w:jc w:val="center"/>
        </w:trPr>
        <w:tc>
          <w:tcPr>
            <w:tcW w:w="1526" w:type="dxa"/>
            <w:gridSpan w:val="2"/>
            <w:vMerge w:val="restart"/>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助教</w:t>
            </w: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644" w:type="dxa"/>
            <w:vAlign w:val="center"/>
          </w:tcPr>
          <w:p w:rsidR="00494804" w:rsidRDefault="00494804" w:rsidP="007F330C">
            <w:pPr>
              <w:adjustRightInd w:val="0"/>
              <w:snapToGrid w:val="0"/>
              <w:rPr>
                <w:rFonts w:ascii="仿宋_GB2312" w:eastAsia="仿宋_GB2312"/>
                <w:sz w:val="24"/>
              </w:rPr>
            </w:pPr>
            <w:r>
              <w:rPr>
                <w:rFonts w:ascii="仿宋_GB2312" w:eastAsia="仿宋_GB2312" w:hint="eastAsia"/>
                <w:sz w:val="24"/>
              </w:rPr>
              <w:t>非定向学术型博士、非定向专业学位博士研究生和非在职少高计划博士研究生可申请</w:t>
            </w:r>
          </w:p>
        </w:tc>
        <w:tc>
          <w:tcPr>
            <w:tcW w:w="1688" w:type="dxa"/>
            <w:vAlign w:val="center"/>
          </w:tcPr>
          <w:p w:rsidR="00494804" w:rsidRDefault="00494804" w:rsidP="007F330C">
            <w:pPr>
              <w:adjustRightInd w:val="0"/>
              <w:snapToGrid w:val="0"/>
              <w:jc w:val="center"/>
              <w:rPr>
                <w:rFonts w:ascii="仿宋_GB2312" w:eastAsia="仿宋_GB2312" w:hAnsi="宋体" w:cs="宋体"/>
                <w:kern w:val="0"/>
                <w:sz w:val="24"/>
              </w:rPr>
            </w:pPr>
          </w:p>
        </w:tc>
      </w:tr>
      <w:tr w:rsidR="00494804" w:rsidTr="007F330C">
        <w:trPr>
          <w:trHeight w:hRule="exact" w:val="567"/>
          <w:jc w:val="center"/>
        </w:trPr>
        <w:tc>
          <w:tcPr>
            <w:tcW w:w="1526" w:type="dxa"/>
            <w:gridSpan w:val="2"/>
            <w:vMerge/>
            <w:vAlign w:val="center"/>
          </w:tcPr>
          <w:p w:rsidR="00494804" w:rsidRDefault="00494804" w:rsidP="007F330C">
            <w:pPr>
              <w:adjustRightInd w:val="0"/>
              <w:snapToGrid w:val="0"/>
              <w:jc w:val="center"/>
              <w:rPr>
                <w:rFonts w:ascii="仿宋_GB2312" w:eastAsia="仿宋_GB2312" w:hAnsi="宋体" w:cs="宋体"/>
                <w:kern w:val="0"/>
                <w:sz w:val="24"/>
              </w:rPr>
            </w:pP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644" w:type="dxa"/>
            <w:vAlign w:val="center"/>
          </w:tcPr>
          <w:p w:rsidR="00494804" w:rsidRDefault="00494804" w:rsidP="007F330C">
            <w:pPr>
              <w:adjustRightInd w:val="0"/>
              <w:snapToGrid w:val="0"/>
              <w:rPr>
                <w:rFonts w:ascii="仿宋_GB2312" w:eastAsia="仿宋_GB2312"/>
                <w:sz w:val="24"/>
              </w:rPr>
            </w:pPr>
            <w:r>
              <w:rPr>
                <w:rFonts w:ascii="仿宋_GB2312" w:eastAsia="仿宋_GB2312" w:hint="eastAsia"/>
                <w:sz w:val="24"/>
              </w:rPr>
              <w:t>800元/月</w:t>
            </w:r>
          </w:p>
        </w:tc>
        <w:tc>
          <w:tcPr>
            <w:tcW w:w="1688"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以十个月计</w:t>
            </w:r>
          </w:p>
        </w:tc>
      </w:tr>
      <w:tr w:rsidR="00494804" w:rsidTr="007F330C">
        <w:trPr>
          <w:trHeight w:hRule="exact" w:val="676"/>
          <w:jc w:val="center"/>
        </w:trPr>
        <w:tc>
          <w:tcPr>
            <w:tcW w:w="1526" w:type="dxa"/>
            <w:gridSpan w:val="2"/>
            <w:vMerge w:val="restart"/>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其它各类</w:t>
            </w:r>
          </w:p>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奖学金</w:t>
            </w:r>
          </w:p>
        </w:tc>
        <w:tc>
          <w:tcPr>
            <w:tcW w:w="850"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644" w:type="dxa"/>
            <w:vAlign w:val="center"/>
          </w:tcPr>
          <w:p w:rsidR="00494804" w:rsidRDefault="00494804" w:rsidP="007F330C">
            <w:pPr>
              <w:adjustRightInd w:val="0"/>
              <w:snapToGrid w:val="0"/>
              <w:rPr>
                <w:rFonts w:ascii="仿宋_GB2312" w:eastAsia="仿宋_GB2312"/>
                <w:sz w:val="24"/>
              </w:rPr>
            </w:pPr>
            <w:r>
              <w:rPr>
                <w:rFonts w:ascii="仿宋_GB2312" w:eastAsia="仿宋_GB2312" w:hint="eastAsia"/>
                <w:sz w:val="24"/>
              </w:rPr>
              <w:t>非定向学术型博士、非定向专业学位博士研究生和非在职少高计划博士研究生</w:t>
            </w:r>
          </w:p>
        </w:tc>
        <w:tc>
          <w:tcPr>
            <w:tcW w:w="1688" w:type="dxa"/>
          </w:tcPr>
          <w:p w:rsidR="00494804" w:rsidRDefault="00494804" w:rsidP="007F330C">
            <w:pPr>
              <w:adjustRightInd w:val="0"/>
              <w:snapToGrid w:val="0"/>
              <w:jc w:val="center"/>
              <w:rPr>
                <w:rFonts w:ascii="仿宋_GB2312" w:eastAsia="仿宋_GB2312" w:hAnsi="宋体" w:cs="宋体"/>
                <w:kern w:val="0"/>
                <w:sz w:val="24"/>
              </w:rPr>
            </w:pPr>
          </w:p>
        </w:tc>
      </w:tr>
      <w:tr w:rsidR="00494804" w:rsidTr="007F330C">
        <w:trPr>
          <w:trHeight w:hRule="exact" w:val="770"/>
          <w:jc w:val="center"/>
        </w:trPr>
        <w:tc>
          <w:tcPr>
            <w:tcW w:w="1526" w:type="dxa"/>
            <w:gridSpan w:val="2"/>
            <w:vMerge/>
            <w:vAlign w:val="center"/>
          </w:tcPr>
          <w:p w:rsidR="00494804" w:rsidRDefault="00494804" w:rsidP="007F330C">
            <w:pPr>
              <w:adjustRightInd w:val="0"/>
              <w:snapToGrid w:val="0"/>
              <w:jc w:val="center"/>
              <w:rPr>
                <w:rFonts w:ascii="仿宋_GB2312" w:eastAsia="仿宋_GB2312" w:hAnsi="宋体" w:cs="宋体"/>
                <w:kern w:val="0"/>
                <w:sz w:val="24"/>
              </w:rPr>
            </w:pPr>
          </w:p>
        </w:tc>
        <w:tc>
          <w:tcPr>
            <w:tcW w:w="850" w:type="dxa"/>
            <w:vMerge w:val="restart"/>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644" w:type="dxa"/>
            <w:vAlign w:val="center"/>
          </w:tcPr>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博士研究生国家奖学金（3万元/人），数量根据国家下达名额确定</w:t>
            </w:r>
          </w:p>
        </w:tc>
        <w:tc>
          <w:tcPr>
            <w:tcW w:w="1688" w:type="dxa"/>
          </w:tcPr>
          <w:p w:rsidR="00494804" w:rsidRDefault="00494804" w:rsidP="007F330C">
            <w:pPr>
              <w:adjustRightInd w:val="0"/>
              <w:snapToGrid w:val="0"/>
              <w:ind w:firstLine="400"/>
              <w:rPr>
                <w:rFonts w:ascii="仿宋_GB2312" w:eastAsia="仿宋_GB2312"/>
                <w:sz w:val="24"/>
              </w:rPr>
            </w:pPr>
          </w:p>
        </w:tc>
      </w:tr>
      <w:tr w:rsidR="00494804" w:rsidTr="007F330C">
        <w:trPr>
          <w:trHeight w:hRule="exact" w:val="1870"/>
          <w:jc w:val="center"/>
        </w:trPr>
        <w:tc>
          <w:tcPr>
            <w:tcW w:w="1526" w:type="dxa"/>
            <w:gridSpan w:val="2"/>
            <w:vMerge/>
            <w:vAlign w:val="center"/>
          </w:tcPr>
          <w:p w:rsidR="00494804" w:rsidRDefault="00494804" w:rsidP="007F330C">
            <w:pPr>
              <w:widowControl/>
              <w:adjustRightInd w:val="0"/>
              <w:snapToGrid w:val="0"/>
              <w:ind w:firstLine="400"/>
              <w:jc w:val="left"/>
              <w:rPr>
                <w:rFonts w:ascii="仿宋_GB2312" w:eastAsia="仿宋_GB2312"/>
                <w:sz w:val="24"/>
              </w:rPr>
            </w:pPr>
          </w:p>
        </w:tc>
        <w:tc>
          <w:tcPr>
            <w:tcW w:w="850" w:type="dxa"/>
            <w:vMerge/>
            <w:vAlign w:val="center"/>
          </w:tcPr>
          <w:p w:rsidR="00494804" w:rsidRDefault="00494804" w:rsidP="007F330C">
            <w:pPr>
              <w:widowControl/>
              <w:adjustRightInd w:val="0"/>
              <w:snapToGrid w:val="0"/>
              <w:ind w:firstLine="400"/>
              <w:jc w:val="left"/>
              <w:rPr>
                <w:rFonts w:ascii="仿宋_GB2312" w:eastAsia="仿宋_GB2312"/>
                <w:sz w:val="24"/>
              </w:rPr>
            </w:pPr>
          </w:p>
        </w:tc>
        <w:tc>
          <w:tcPr>
            <w:tcW w:w="4644" w:type="dxa"/>
            <w:vAlign w:val="center"/>
          </w:tcPr>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学校优秀博士新生奖学金（0.5万元/人，数量为100名左右）</w:t>
            </w:r>
          </w:p>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学校优秀博士奖学金（1万元/人，数量每年100名）</w:t>
            </w:r>
          </w:p>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学校研究生社会活动奖学金（0.5万元/人，2.5%）</w:t>
            </w:r>
          </w:p>
        </w:tc>
        <w:tc>
          <w:tcPr>
            <w:tcW w:w="1688" w:type="dxa"/>
          </w:tcPr>
          <w:p w:rsidR="00494804" w:rsidRDefault="00494804" w:rsidP="007F330C">
            <w:pPr>
              <w:adjustRightInd w:val="0"/>
              <w:snapToGrid w:val="0"/>
              <w:ind w:firstLine="400"/>
              <w:rPr>
                <w:rFonts w:ascii="仿宋_GB2312" w:eastAsia="仿宋_GB2312"/>
                <w:sz w:val="24"/>
              </w:rPr>
            </w:pPr>
          </w:p>
        </w:tc>
      </w:tr>
      <w:tr w:rsidR="00494804" w:rsidTr="007F330C">
        <w:trPr>
          <w:trHeight w:hRule="exact" w:val="567"/>
          <w:jc w:val="center"/>
        </w:trPr>
        <w:tc>
          <w:tcPr>
            <w:tcW w:w="1526" w:type="dxa"/>
            <w:gridSpan w:val="2"/>
            <w:vMerge/>
            <w:vAlign w:val="center"/>
          </w:tcPr>
          <w:p w:rsidR="00494804" w:rsidRDefault="00494804" w:rsidP="007F330C">
            <w:pPr>
              <w:widowControl/>
              <w:adjustRightInd w:val="0"/>
              <w:snapToGrid w:val="0"/>
              <w:ind w:firstLine="400"/>
              <w:jc w:val="left"/>
              <w:rPr>
                <w:rFonts w:ascii="仿宋_GB2312" w:eastAsia="仿宋_GB2312"/>
                <w:sz w:val="24"/>
              </w:rPr>
            </w:pPr>
          </w:p>
        </w:tc>
        <w:tc>
          <w:tcPr>
            <w:tcW w:w="850" w:type="dxa"/>
            <w:vMerge/>
            <w:vAlign w:val="center"/>
          </w:tcPr>
          <w:p w:rsidR="00494804" w:rsidRDefault="00494804" w:rsidP="007F330C">
            <w:pPr>
              <w:widowControl/>
              <w:adjustRightInd w:val="0"/>
              <w:snapToGrid w:val="0"/>
              <w:ind w:firstLine="400"/>
              <w:jc w:val="left"/>
              <w:rPr>
                <w:rFonts w:ascii="仿宋_GB2312" w:eastAsia="仿宋_GB2312"/>
                <w:sz w:val="24"/>
              </w:rPr>
            </w:pPr>
          </w:p>
        </w:tc>
        <w:tc>
          <w:tcPr>
            <w:tcW w:w="4644" w:type="dxa"/>
            <w:vAlign w:val="center"/>
          </w:tcPr>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社会捐赠奖学金</w:t>
            </w:r>
          </w:p>
        </w:tc>
        <w:tc>
          <w:tcPr>
            <w:tcW w:w="1688" w:type="dxa"/>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按照捐赠协议</w:t>
            </w:r>
          </w:p>
        </w:tc>
      </w:tr>
    </w:tbl>
    <w:p w:rsidR="00494804" w:rsidRDefault="00494804" w:rsidP="00494804">
      <w:pPr>
        <w:widowControl/>
        <w:spacing w:line="584" w:lineRule="exact"/>
        <w:rPr>
          <w:rFonts w:ascii="黑体" w:eastAsia="黑体"/>
          <w:sz w:val="32"/>
          <w:szCs w:val="32"/>
        </w:rPr>
      </w:pPr>
      <w:bookmarkStart w:id="70" w:name="_Toc424300624"/>
    </w:p>
    <w:p w:rsidR="00494804" w:rsidRDefault="00494804" w:rsidP="00494804">
      <w:pPr>
        <w:widowControl/>
        <w:spacing w:line="584" w:lineRule="exact"/>
        <w:rPr>
          <w:rFonts w:ascii="黑体" w:eastAsia="黑体"/>
          <w:sz w:val="32"/>
          <w:szCs w:val="32"/>
        </w:rPr>
      </w:pPr>
    </w:p>
    <w:p w:rsidR="00494804" w:rsidRDefault="00494804" w:rsidP="00494804">
      <w:pPr>
        <w:widowControl/>
        <w:spacing w:line="584" w:lineRule="exact"/>
        <w:rPr>
          <w:rFonts w:ascii="黑体" w:eastAsia="黑体"/>
          <w:sz w:val="32"/>
          <w:szCs w:val="32"/>
        </w:rPr>
      </w:pPr>
    </w:p>
    <w:p w:rsidR="00494804" w:rsidRDefault="00494804" w:rsidP="00494804">
      <w:pPr>
        <w:spacing w:line="360" w:lineRule="auto"/>
        <w:rPr>
          <w:rFonts w:ascii="黑体" w:eastAsia="黑体" w:hAnsi="黑体"/>
          <w:b/>
          <w:bCs/>
          <w:color w:val="000000"/>
          <w:sz w:val="24"/>
        </w:rPr>
      </w:pPr>
    </w:p>
    <w:p w:rsidR="00494804" w:rsidRDefault="00494804" w:rsidP="00494804">
      <w:pPr>
        <w:spacing w:line="360" w:lineRule="auto"/>
        <w:rPr>
          <w:rFonts w:ascii="黑体" w:eastAsia="黑体" w:hAnsi="黑体"/>
          <w:b/>
          <w:bCs/>
          <w:color w:val="000000"/>
          <w:sz w:val="24"/>
        </w:rPr>
      </w:pPr>
      <w:r>
        <w:rPr>
          <w:rFonts w:ascii="黑体" w:eastAsia="黑体" w:hAnsi="黑体" w:hint="eastAsia"/>
          <w:b/>
          <w:bCs/>
          <w:color w:val="000000"/>
          <w:sz w:val="24"/>
        </w:rPr>
        <w:lastRenderedPageBreak/>
        <w:t>附件2</w:t>
      </w:r>
    </w:p>
    <w:p w:rsidR="00494804" w:rsidRDefault="00494804" w:rsidP="00494804">
      <w:pPr>
        <w:widowControl/>
        <w:spacing w:line="360" w:lineRule="auto"/>
        <w:jc w:val="center"/>
        <w:rPr>
          <w:rFonts w:ascii="方正小标宋简体" w:eastAsia="方正小标宋简体" w:hAnsi="宋体"/>
          <w:sz w:val="32"/>
          <w:szCs w:val="32"/>
        </w:rPr>
      </w:pPr>
      <w:r>
        <w:rPr>
          <w:rFonts w:ascii="方正小标宋简体" w:eastAsia="方正小标宋简体" w:hAnsi="宋体" w:hint="eastAsia"/>
          <w:sz w:val="32"/>
          <w:szCs w:val="32"/>
        </w:rPr>
        <w:t>博士研究生奖助方案简况表</w:t>
      </w:r>
    </w:p>
    <w:p w:rsidR="00494804" w:rsidRDefault="00494804" w:rsidP="00494804">
      <w:pPr>
        <w:widowControl/>
        <w:spacing w:line="360" w:lineRule="auto"/>
        <w:jc w:val="center"/>
        <w:rPr>
          <w:rFonts w:ascii="方正小标宋简体" w:eastAsia="方正小标宋简体" w:hAnsi="宋体"/>
          <w:sz w:val="32"/>
          <w:szCs w:val="32"/>
        </w:rPr>
      </w:pPr>
      <w:r>
        <w:rPr>
          <w:rFonts w:ascii="方正小标宋简体" w:eastAsia="方正小标宋简体" w:hAnsi="宋体" w:hint="eastAsia"/>
          <w:sz w:val="32"/>
          <w:szCs w:val="32"/>
        </w:rPr>
        <w:t>（超过学制第一、二年）</w:t>
      </w:r>
      <w:bookmarkEnd w:id="70"/>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723"/>
        <w:gridCol w:w="3891"/>
        <w:gridCol w:w="2812"/>
      </w:tblGrid>
      <w:tr w:rsidR="00494804" w:rsidTr="007F330C">
        <w:trPr>
          <w:trHeight w:val="567"/>
          <w:jc w:val="center"/>
        </w:trPr>
        <w:tc>
          <w:tcPr>
            <w:tcW w:w="1096" w:type="dxa"/>
            <w:tcBorders>
              <w:top w:val="single" w:sz="4" w:space="0" w:color="auto"/>
              <w:left w:val="single" w:sz="4" w:space="0" w:color="auto"/>
              <w:bottom w:val="single" w:sz="4" w:space="0" w:color="auto"/>
              <w:right w:val="single" w:sz="4" w:space="0" w:color="auto"/>
            </w:tcBorders>
            <w:vAlign w:val="center"/>
          </w:tcPr>
          <w:p w:rsidR="00494804" w:rsidRDefault="00494804" w:rsidP="007F330C">
            <w:pPr>
              <w:adjustRightInd w:val="0"/>
              <w:snapToGrid w:val="0"/>
              <w:jc w:val="center"/>
              <w:rPr>
                <w:rFonts w:ascii="仿宋_GB2312" w:eastAsia="仿宋_GB2312" w:hAnsi="宋体" w:cs="宋体"/>
                <w:kern w:val="0"/>
                <w:sz w:val="24"/>
              </w:rPr>
            </w:pPr>
          </w:p>
        </w:tc>
        <w:tc>
          <w:tcPr>
            <w:tcW w:w="723" w:type="dxa"/>
            <w:tcBorders>
              <w:top w:val="single" w:sz="4" w:space="0" w:color="auto"/>
              <w:left w:val="single" w:sz="4" w:space="0" w:color="auto"/>
              <w:bottom w:val="single" w:sz="4" w:space="0" w:color="auto"/>
              <w:right w:val="single" w:sz="4" w:space="0" w:color="auto"/>
            </w:tcBorders>
            <w:vAlign w:val="center"/>
          </w:tcPr>
          <w:p w:rsidR="00494804" w:rsidRDefault="00494804" w:rsidP="007F330C">
            <w:pPr>
              <w:adjustRightInd w:val="0"/>
              <w:snapToGrid w:val="0"/>
              <w:jc w:val="center"/>
              <w:rPr>
                <w:rFonts w:ascii="仿宋_GB2312" w:eastAsia="仿宋_GB2312" w:hAnsi="宋体" w:cs="宋体"/>
                <w:kern w:val="0"/>
                <w:sz w:val="24"/>
              </w:rPr>
            </w:pPr>
          </w:p>
        </w:tc>
        <w:tc>
          <w:tcPr>
            <w:tcW w:w="3891" w:type="dxa"/>
            <w:tcBorders>
              <w:top w:val="single" w:sz="4" w:space="0" w:color="auto"/>
              <w:left w:val="single" w:sz="4" w:space="0" w:color="auto"/>
              <w:bottom w:val="single" w:sz="4" w:space="0" w:color="auto"/>
              <w:right w:val="single" w:sz="4" w:space="0" w:color="auto"/>
            </w:tcBorders>
            <w:vAlign w:val="center"/>
          </w:tcPr>
          <w:p w:rsidR="00494804" w:rsidRDefault="00494804" w:rsidP="007F330C">
            <w:pPr>
              <w:adjustRightInd w:val="0"/>
              <w:snapToGrid w:val="0"/>
              <w:ind w:firstLine="422"/>
              <w:jc w:val="center"/>
              <w:rPr>
                <w:rFonts w:ascii="仿宋_GB2312" w:eastAsia="仿宋_GB2312"/>
                <w:sz w:val="24"/>
              </w:rPr>
            </w:pPr>
            <w:r>
              <w:rPr>
                <w:rFonts w:ascii="仿宋_GB2312" w:eastAsia="仿宋_GB2312" w:hint="eastAsia"/>
                <w:b/>
                <w:sz w:val="24"/>
              </w:rPr>
              <w:t>博士</w:t>
            </w:r>
          </w:p>
        </w:tc>
        <w:tc>
          <w:tcPr>
            <w:tcW w:w="2812" w:type="dxa"/>
            <w:tcBorders>
              <w:top w:val="single" w:sz="4" w:space="0" w:color="auto"/>
              <w:left w:val="single" w:sz="4" w:space="0" w:color="auto"/>
              <w:bottom w:val="single" w:sz="4" w:space="0" w:color="auto"/>
              <w:right w:val="single" w:sz="4" w:space="0" w:color="auto"/>
            </w:tcBorders>
            <w:vAlign w:val="center"/>
          </w:tcPr>
          <w:p w:rsidR="00494804" w:rsidRDefault="00494804" w:rsidP="007F330C">
            <w:pPr>
              <w:adjustRightInd w:val="0"/>
              <w:snapToGrid w:val="0"/>
              <w:ind w:firstLine="422"/>
              <w:jc w:val="center"/>
              <w:rPr>
                <w:rFonts w:ascii="仿宋_GB2312" w:eastAsia="仿宋_GB2312"/>
                <w:b/>
                <w:sz w:val="24"/>
              </w:rPr>
            </w:pPr>
            <w:r>
              <w:rPr>
                <w:rFonts w:ascii="仿宋_GB2312" w:eastAsia="仿宋_GB2312" w:hint="eastAsia"/>
                <w:b/>
                <w:sz w:val="24"/>
              </w:rPr>
              <w:t>备注</w:t>
            </w:r>
          </w:p>
        </w:tc>
      </w:tr>
      <w:tr w:rsidR="00494804" w:rsidTr="007F330C">
        <w:trPr>
          <w:trHeight w:val="567"/>
          <w:jc w:val="center"/>
        </w:trPr>
        <w:tc>
          <w:tcPr>
            <w:tcW w:w="1096" w:type="dxa"/>
            <w:vMerge w:val="restart"/>
            <w:tcBorders>
              <w:top w:val="single" w:sz="4" w:space="0" w:color="auto"/>
              <w:left w:val="single" w:sz="4" w:space="0" w:color="auto"/>
              <w:right w:val="single" w:sz="4" w:space="0" w:color="auto"/>
            </w:tcBorders>
            <w:vAlign w:val="center"/>
          </w:tcPr>
          <w:p w:rsidR="00494804" w:rsidRDefault="00494804" w:rsidP="007F330C">
            <w:pPr>
              <w:adjustRightInd w:val="0"/>
              <w:snapToGrid w:val="0"/>
              <w:jc w:val="left"/>
              <w:rPr>
                <w:rFonts w:ascii="仿宋_GB2312" w:eastAsia="仿宋_GB2312" w:hAnsi="宋体" w:cs="宋体"/>
                <w:kern w:val="0"/>
                <w:sz w:val="24"/>
              </w:rPr>
            </w:pPr>
            <w:r>
              <w:rPr>
                <w:rFonts w:ascii="仿宋_GB2312" w:eastAsia="仿宋_GB2312" w:hAnsi="宋体" w:cs="宋体" w:hint="eastAsia"/>
                <w:kern w:val="0"/>
                <w:sz w:val="24"/>
              </w:rPr>
              <w:t>助学金</w:t>
            </w:r>
          </w:p>
        </w:tc>
        <w:tc>
          <w:tcPr>
            <w:tcW w:w="723" w:type="dxa"/>
            <w:tcBorders>
              <w:top w:val="single" w:sz="4" w:space="0" w:color="auto"/>
              <w:left w:val="single" w:sz="4" w:space="0" w:color="auto"/>
              <w:bottom w:val="single" w:sz="4" w:space="0" w:color="auto"/>
              <w:right w:val="single" w:sz="4" w:space="0" w:color="auto"/>
            </w:tcBorders>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3891" w:type="dxa"/>
            <w:tcBorders>
              <w:top w:val="single" w:sz="4" w:space="0" w:color="auto"/>
              <w:left w:val="single" w:sz="4" w:space="0" w:color="auto"/>
              <w:bottom w:val="single" w:sz="4" w:space="0" w:color="auto"/>
              <w:right w:val="single" w:sz="4" w:space="0" w:color="auto"/>
            </w:tcBorders>
            <w:vAlign w:val="center"/>
          </w:tcPr>
          <w:p w:rsidR="00494804" w:rsidRDefault="00494804" w:rsidP="007F330C">
            <w:pPr>
              <w:adjustRightInd w:val="0"/>
              <w:snapToGrid w:val="0"/>
              <w:jc w:val="left"/>
              <w:rPr>
                <w:rFonts w:ascii="仿宋_GB2312" w:eastAsia="仿宋_GB2312" w:hAnsi="宋体" w:cs="宋体"/>
                <w:kern w:val="0"/>
                <w:sz w:val="24"/>
              </w:rPr>
            </w:pPr>
            <w:r>
              <w:rPr>
                <w:rFonts w:ascii="仿宋_GB2312" w:eastAsia="仿宋_GB2312" w:hAnsi="宋体" w:cs="宋体" w:hint="eastAsia"/>
                <w:kern w:val="0"/>
                <w:sz w:val="24"/>
              </w:rPr>
              <w:t>超过学制的非定向学术型博士和非定向专业学位博士研究生</w:t>
            </w:r>
          </w:p>
        </w:tc>
        <w:tc>
          <w:tcPr>
            <w:tcW w:w="2812" w:type="dxa"/>
            <w:tcBorders>
              <w:top w:val="single" w:sz="4" w:space="0" w:color="auto"/>
              <w:left w:val="single" w:sz="4" w:space="0" w:color="auto"/>
              <w:bottom w:val="single" w:sz="4" w:space="0" w:color="auto"/>
              <w:right w:val="single" w:sz="4" w:space="0" w:color="auto"/>
            </w:tcBorders>
          </w:tcPr>
          <w:p w:rsidR="00494804" w:rsidRDefault="00494804" w:rsidP="007F330C">
            <w:pPr>
              <w:adjustRightInd w:val="0"/>
              <w:snapToGrid w:val="0"/>
              <w:rPr>
                <w:rFonts w:ascii="仿宋_GB2312" w:eastAsia="仿宋_GB2312"/>
                <w:sz w:val="24"/>
              </w:rPr>
            </w:pPr>
            <w:r>
              <w:rPr>
                <w:rFonts w:ascii="仿宋_GB2312" w:eastAsia="仿宋_GB2312" w:hint="eastAsia"/>
                <w:sz w:val="24"/>
              </w:rPr>
              <w:t>超过学制的第一年资助人数为当届招生总数的20%左右、超过学制的第二年资助人数为当届招生总数的10%左右。由学生申请、导师同意，达到学校制定的标准要求方能获得。</w:t>
            </w:r>
          </w:p>
        </w:tc>
      </w:tr>
      <w:tr w:rsidR="00494804" w:rsidTr="007F330C">
        <w:trPr>
          <w:trHeight w:val="567"/>
          <w:jc w:val="center"/>
        </w:trPr>
        <w:tc>
          <w:tcPr>
            <w:tcW w:w="1096" w:type="dxa"/>
            <w:vMerge/>
            <w:tcBorders>
              <w:left w:val="single" w:sz="4" w:space="0" w:color="auto"/>
              <w:right w:val="single" w:sz="4" w:space="0" w:color="auto"/>
            </w:tcBorders>
            <w:vAlign w:val="center"/>
          </w:tcPr>
          <w:p w:rsidR="00494804" w:rsidRDefault="00494804" w:rsidP="007F330C">
            <w:pPr>
              <w:widowControl/>
              <w:adjustRightInd w:val="0"/>
              <w:snapToGrid w:val="0"/>
              <w:ind w:firstLine="400"/>
              <w:jc w:val="left"/>
              <w:rPr>
                <w:rFonts w:ascii="仿宋_GB2312" w:eastAsia="仿宋_GB2312"/>
                <w:sz w:val="24"/>
              </w:rPr>
            </w:pPr>
          </w:p>
        </w:tc>
        <w:tc>
          <w:tcPr>
            <w:tcW w:w="723" w:type="dxa"/>
            <w:tcBorders>
              <w:top w:val="single" w:sz="4" w:space="0" w:color="auto"/>
              <w:left w:val="single" w:sz="4" w:space="0" w:color="auto"/>
              <w:right w:val="single" w:sz="4" w:space="0" w:color="auto"/>
            </w:tcBorders>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3891" w:type="dxa"/>
            <w:tcBorders>
              <w:top w:val="single" w:sz="4" w:space="0" w:color="auto"/>
              <w:left w:val="single" w:sz="4" w:space="0" w:color="auto"/>
              <w:right w:val="single" w:sz="4" w:space="0" w:color="auto"/>
            </w:tcBorders>
            <w:vAlign w:val="center"/>
          </w:tcPr>
          <w:p w:rsidR="00494804" w:rsidRDefault="00494804" w:rsidP="007F330C">
            <w:pPr>
              <w:adjustRightInd w:val="0"/>
              <w:snapToGrid w:val="0"/>
              <w:jc w:val="left"/>
              <w:rPr>
                <w:rFonts w:ascii="仿宋_GB2312" w:eastAsia="仿宋_GB2312"/>
                <w:sz w:val="24"/>
                <w:shd w:val="pct10" w:color="auto" w:fill="FFFFFF"/>
              </w:rPr>
            </w:pPr>
            <w:r>
              <w:rPr>
                <w:rFonts w:ascii="仿宋_GB2312" w:eastAsia="仿宋_GB2312" w:hint="eastAsia"/>
                <w:sz w:val="24"/>
              </w:rPr>
              <w:t>学校1400元/月+导师出资（各培养单位导师出资部分见附件3）</w:t>
            </w:r>
          </w:p>
        </w:tc>
        <w:tc>
          <w:tcPr>
            <w:tcW w:w="2812" w:type="dxa"/>
            <w:tcBorders>
              <w:top w:val="single" w:sz="4" w:space="0" w:color="auto"/>
              <w:left w:val="single" w:sz="4" w:space="0" w:color="auto"/>
              <w:right w:val="single" w:sz="4" w:space="0" w:color="auto"/>
            </w:tcBorders>
            <w:vAlign w:val="center"/>
          </w:tcPr>
          <w:p w:rsidR="00494804" w:rsidRDefault="00494804" w:rsidP="007F330C">
            <w:pPr>
              <w:adjustRightInd w:val="0"/>
              <w:snapToGrid w:val="0"/>
              <w:jc w:val="center"/>
              <w:rPr>
                <w:rFonts w:ascii="仿宋_GB2312" w:eastAsia="仿宋_GB2312" w:hAnsi="宋体" w:cs="宋体"/>
                <w:kern w:val="0"/>
                <w:sz w:val="24"/>
              </w:rPr>
            </w:pPr>
          </w:p>
        </w:tc>
      </w:tr>
      <w:tr w:rsidR="00494804" w:rsidTr="007F330C">
        <w:trPr>
          <w:trHeight w:val="567"/>
          <w:jc w:val="center"/>
        </w:trPr>
        <w:tc>
          <w:tcPr>
            <w:tcW w:w="1096" w:type="dxa"/>
            <w:vMerge w:val="restart"/>
            <w:tcBorders>
              <w:left w:val="single" w:sz="4" w:space="0" w:color="auto"/>
              <w:right w:val="single" w:sz="4" w:space="0" w:color="auto"/>
            </w:tcBorders>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其它</w:t>
            </w:r>
          </w:p>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各类</w:t>
            </w:r>
          </w:p>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奖学金</w:t>
            </w:r>
          </w:p>
        </w:tc>
        <w:tc>
          <w:tcPr>
            <w:tcW w:w="723" w:type="dxa"/>
            <w:tcBorders>
              <w:top w:val="single" w:sz="4" w:space="0" w:color="auto"/>
              <w:left w:val="single" w:sz="4" w:space="0" w:color="auto"/>
              <w:right w:val="single" w:sz="4" w:space="0" w:color="auto"/>
            </w:tcBorders>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3891" w:type="dxa"/>
            <w:tcBorders>
              <w:top w:val="single" w:sz="4" w:space="0" w:color="auto"/>
              <w:left w:val="single" w:sz="4" w:space="0" w:color="auto"/>
              <w:right w:val="single" w:sz="4" w:space="0" w:color="auto"/>
            </w:tcBorders>
            <w:vAlign w:val="center"/>
          </w:tcPr>
          <w:p w:rsidR="00494804" w:rsidRDefault="00494804" w:rsidP="007F330C">
            <w:pPr>
              <w:adjustRightInd w:val="0"/>
              <w:snapToGrid w:val="0"/>
              <w:jc w:val="left"/>
              <w:rPr>
                <w:rFonts w:ascii="仿宋_GB2312" w:eastAsia="仿宋_GB2312"/>
                <w:color w:val="FF0000"/>
                <w:sz w:val="24"/>
              </w:rPr>
            </w:pPr>
            <w:r>
              <w:rPr>
                <w:rFonts w:ascii="仿宋_GB2312" w:eastAsia="仿宋_GB2312" w:hint="eastAsia"/>
                <w:sz w:val="24"/>
              </w:rPr>
              <w:t>超过学制的非定向学术型博士、非定向专业学位博士研究生和非在职少高计划博士研究生</w:t>
            </w:r>
          </w:p>
        </w:tc>
        <w:tc>
          <w:tcPr>
            <w:tcW w:w="2812" w:type="dxa"/>
            <w:tcBorders>
              <w:top w:val="single" w:sz="4" w:space="0" w:color="auto"/>
              <w:left w:val="single" w:sz="4" w:space="0" w:color="auto"/>
              <w:right w:val="single" w:sz="4" w:space="0" w:color="auto"/>
            </w:tcBorders>
          </w:tcPr>
          <w:p w:rsidR="00494804" w:rsidRDefault="00494804" w:rsidP="007F330C">
            <w:pPr>
              <w:adjustRightInd w:val="0"/>
              <w:snapToGrid w:val="0"/>
              <w:jc w:val="center"/>
              <w:rPr>
                <w:rFonts w:ascii="仿宋_GB2312" w:eastAsia="仿宋_GB2312" w:hAnsi="宋体" w:cs="宋体"/>
                <w:kern w:val="0"/>
                <w:sz w:val="24"/>
              </w:rPr>
            </w:pPr>
          </w:p>
        </w:tc>
      </w:tr>
      <w:tr w:rsidR="00494804" w:rsidTr="007F330C">
        <w:trPr>
          <w:trHeight w:val="567"/>
          <w:jc w:val="center"/>
        </w:trPr>
        <w:tc>
          <w:tcPr>
            <w:tcW w:w="1096" w:type="dxa"/>
            <w:vMerge/>
            <w:tcBorders>
              <w:left w:val="single" w:sz="4" w:space="0" w:color="auto"/>
              <w:right w:val="single" w:sz="4" w:space="0" w:color="auto"/>
            </w:tcBorders>
            <w:vAlign w:val="center"/>
          </w:tcPr>
          <w:p w:rsidR="00494804" w:rsidRDefault="00494804" w:rsidP="007F330C">
            <w:pPr>
              <w:adjustRightInd w:val="0"/>
              <w:snapToGrid w:val="0"/>
              <w:jc w:val="center"/>
              <w:rPr>
                <w:rFonts w:ascii="仿宋_GB2312" w:eastAsia="仿宋_GB2312" w:hAnsi="宋体" w:cs="宋体"/>
                <w:kern w:val="0"/>
                <w:sz w:val="24"/>
              </w:rPr>
            </w:pPr>
          </w:p>
        </w:tc>
        <w:tc>
          <w:tcPr>
            <w:tcW w:w="723" w:type="dxa"/>
            <w:vMerge w:val="restart"/>
            <w:tcBorders>
              <w:top w:val="single" w:sz="4" w:space="0" w:color="auto"/>
              <w:left w:val="single" w:sz="4" w:space="0" w:color="auto"/>
              <w:bottom w:val="single" w:sz="4" w:space="0" w:color="auto"/>
              <w:right w:val="single" w:sz="4" w:space="0" w:color="auto"/>
            </w:tcBorders>
            <w:vAlign w:val="center"/>
          </w:tcPr>
          <w:p w:rsidR="00494804" w:rsidRDefault="00494804"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3891" w:type="dxa"/>
            <w:tcBorders>
              <w:top w:val="single" w:sz="4" w:space="0" w:color="auto"/>
              <w:left w:val="single" w:sz="4" w:space="0" w:color="auto"/>
              <w:right w:val="single" w:sz="4" w:space="0" w:color="auto"/>
            </w:tcBorders>
            <w:vAlign w:val="center"/>
          </w:tcPr>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学校优秀博士奖学金（1万元/人）</w:t>
            </w:r>
          </w:p>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学校研究生社会活动奖学金（0.5万元/人）</w:t>
            </w:r>
          </w:p>
        </w:tc>
        <w:tc>
          <w:tcPr>
            <w:tcW w:w="2812" w:type="dxa"/>
            <w:tcBorders>
              <w:top w:val="single" w:sz="4" w:space="0" w:color="auto"/>
              <w:left w:val="single" w:sz="4" w:space="0" w:color="auto"/>
              <w:right w:val="single" w:sz="4" w:space="0" w:color="auto"/>
            </w:tcBorders>
          </w:tcPr>
          <w:p w:rsidR="00494804" w:rsidRDefault="00494804" w:rsidP="007F330C">
            <w:pPr>
              <w:adjustRightInd w:val="0"/>
              <w:snapToGrid w:val="0"/>
              <w:ind w:firstLine="400"/>
              <w:rPr>
                <w:rFonts w:ascii="仿宋_GB2312" w:eastAsia="仿宋_GB2312"/>
                <w:sz w:val="24"/>
              </w:rPr>
            </w:pPr>
          </w:p>
        </w:tc>
      </w:tr>
      <w:tr w:rsidR="00494804" w:rsidTr="007F330C">
        <w:trPr>
          <w:trHeight w:val="567"/>
          <w:jc w:val="center"/>
        </w:trPr>
        <w:tc>
          <w:tcPr>
            <w:tcW w:w="1096" w:type="dxa"/>
            <w:vMerge/>
            <w:tcBorders>
              <w:left w:val="single" w:sz="4" w:space="0" w:color="auto"/>
              <w:bottom w:val="single" w:sz="4" w:space="0" w:color="auto"/>
              <w:right w:val="single" w:sz="4" w:space="0" w:color="auto"/>
            </w:tcBorders>
            <w:vAlign w:val="center"/>
          </w:tcPr>
          <w:p w:rsidR="00494804" w:rsidRDefault="00494804" w:rsidP="007F330C">
            <w:pPr>
              <w:widowControl/>
              <w:adjustRightInd w:val="0"/>
              <w:snapToGrid w:val="0"/>
              <w:ind w:firstLine="400"/>
              <w:jc w:val="left"/>
              <w:rPr>
                <w:rFonts w:ascii="仿宋_GB2312" w:eastAsia="仿宋_GB2312"/>
                <w:sz w:val="24"/>
              </w:rPr>
            </w:pPr>
          </w:p>
        </w:tc>
        <w:tc>
          <w:tcPr>
            <w:tcW w:w="723" w:type="dxa"/>
            <w:vMerge/>
            <w:tcBorders>
              <w:top w:val="single" w:sz="4" w:space="0" w:color="auto"/>
              <w:left w:val="single" w:sz="4" w:space="0" w:color="auto"/>
              <w:bottom w:val="single" w:sz="4" w:space="0" w:color="auto"/>
              <w:right w:val="single" w:sz="4" w:space="0" w:color="auto"/>
            </w:tcBorders>
            <w:vAlign w:val="center"/>
          </w:tcPr>
          <w:p w:rsidR="00494804" w:rsidRDefault="00494804" w:rsidP="007F330C">
            <w:pPr>
              <w:widowControl/>
              <w:adjustRightInd w:val="0"/>
              <w:snapToGrid w:val="0"/>
              <w:ind w:firstLine="400"/>
              <w:jc w:val="left"/>
              <w:rPr>
                <w:rFonts w:ascii="仿宋_GB2312" w:eastAsia="仿宋_GB2312"/>
                <w:sz w:val="24"/>
              </w:rPr>
            </w:pPr>
          </w:p>
        </w:tc>
        <w:tc>
          <w:tcPr>
            <w:tcW w:w="3891" w:type="dxa"/>
            <w:tcBorders>
              <w:top w:val="single" w:sz="4" w:space="0" w:color="auto"/>
              <w:left w:val="single" w:sz="4" w:space="0" w:color="auto"/>
              <w:bottom w:val="single" w:sz="4" w:space="0" w:color="auto"/>
              <w:right w:val="single" w:sz="4" w:space="0" w:color="auto"/>
            </w:tcBorders>
            <w:vAlign w:val="center"/>
          </w:tcPr>
          <w:p w:rsidR="00494804" w:rsidRDefault="00494804"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社会捐赠奖学金</w:t>
            </w:r>
          </w:p>
        </w:tc>
        <w:tc>
          <w:tcPr>
            <w:tcW w:w="2812" w:type="dxa"/>
            <w:tcBorders>
              <w:top w:val="single" w:sz="4" w:space="0" w:color="auto"/>
              <w:left w:val="single" w:sz="4" w:space="0" w:color="auto"/>
              <w:bottom w:val="single" w:sz="4" w:space="0" w:color="auto"/>
              <w:right w:val="single" w:sz="4" w:space="0" w:color="auto"/>
            </w:tcBorders>
            <w:vAlign w:val="center"/>
          </w:tcPr>
          <w:p w:rsidR="00494804" w:rsidRDefault="00494804" w:rsidP="007F330C">
            <w:pPr>
              <w:adjustRightInd w:val="0"/>
              <w:snapToGrid w:val="0"/>
              <w:rPr>
                <w:rFonts w:ascii="仿宋_GB2312" w:eastAsia="仿宋_GB2312"/>
                <w:sz w:val="24"/>
              </w:rPr>
            </w:pPr>
            <w:r>
              <w:rPr>
                <w:rFonts w:ascii="仿宋_GB2312" w:eastAsia="仿宋_GB2312" w:hint="eastAsia"/>
                <w:sz w:val="24"/>
              </w:rPr>
              <w:t>按照捐赠协议</w:t>
            </w:r>
          </w:p>
        </w:tc>
      </w:tr>
    </w:tbl>
    <w:p w:rsidR="00494804" w:rsidRDefault="00494804" w:rsidP="00494804">
      <w:pPr>
        <w:spacing w:line="584" w:lineRule="exact"/>
        <w:ind w:firstLine="658"/>
        <w:rPr>
          <w:rFonts w:asciiTheme="minorEastAsia" w:eastAsiaTheme="minorEastAsia" w:hAnsiTheme="minorEastAsia"/>
          <w:sz w:val="24"/>
        </w:rPr>
      </w:pPr>
      <w:r>
        <w:rPr>
          <w:rFonts w:asciiTheme="minorEastAsia" w:eastAsiaTheme="minorEastAsia" w:hAnsiTheme="minorEastAsia" w:hint="eastAsia"/>
          <w:sz w:val="24"/>
        </w:rPr>
        <w:t>备注：导师还可根据研究生科研投入情况另外发放助研酬金（博士最高2000元/月。若需超过标准，向研究生院基金办和财务处备案。）</w:t>
      </w:r>
    </w:p>
    <w:p w:rsidR="00494804" w:rsidRDefault="00494804" w:rsidP="00494804">
      <w:pPr>
        <w:widowControl/>
        <w:spacing w:line="584" w:lineRule="exact"/>
      </w:pPr>
      <w:bookmarkStart w:id="71" w:name="_Toc424300625"/>
    </w:p>
    <w:p w:rsidR="00494804" w:rsidRDefault="00494804" w:rsidP="00494804">
      <w:pPr>
        <w:widowControl/>
        <w:spacing w:line="584" w:lineRule="exact"/>
      </w:pPr>
    </w:p>
    <w:p w:rsidR="00494804" w:rsidRDefault="00494804" w:rsidP="00494804">
      <w:pPr>
        <w:widowControl/>
        <w:spacing w:line="584" w:lineRule="exact"/>
      </w:pPr>
    </w:p>
    <w:p w:rsidR="00494804" w:rsidRDefault="00494804" w:rsidP="00494804">
      <w:pPr>
        <w:widowControl/>
        <w:spacing w:line="584" w:lineRule="exact"/>
      </w:pPr>
    </w:p>
    <w:p w:rsidR="00494804" w:rsidRDefault="00494804" w:rsidP="00494804">
      <w:pPr>
        <w:widowControl/>
        <w:spacing w:line="584" w:lineRule="exact"/>
      </w:pPr>
    </w:p>
    <w:p w:rsidR="00494804" w:rsidRDefault="00494804" w:rsidP="00494804">
      <w:pPr>
        <w:widowControl/>
        <w:spacing w:line="584" w:lineRule="exact"/>
      </w:pPr>
    </w:p>
    <w:p w:rsidR="00494804" w:rsidRDefault="00494804" w:rsidP="00494804">
      <w:pPr>
        <w:spacing w:line="360" w:lineRule="auto"/>
        <w:rPr>
          <w:rFonts w:ascii="黑体" w:eastAsia="黑体" w:hAnsi="黑体"/>
          <w:b/>
          <w:bCs/>
          <w:color w:val="000000"/>
          <w:sz w:val="24"/>
        </w:rPr>
      </w:pPr>
    </w:p>
    <w:p w:rsidR="00494804" w:rsidRDefault="00494804" w:rsidP="00494804">
      <w:pPr>
        <w:spacing w:line="360" w:lineRule="auto"/>
        <w:rPr>
          <w:rFonts w:ascii="黑体" w:eastAsia="黑体" w:hAnsi="黑体"/>
          <w:b/>
          <w:bCs/>
          <w:color w:val="000000"/>
          <w:sz w:val="24"/>
        </w:rPr>
      </w:pPr>
    </w:p>
    <w:p w:rsidR="00494804" w:rsidRDefault="00494804" w:rsidP="00494804">
      <w:pPr>
        <w:spacing w:line="360" w:lineRule="auto"/>
        <w:rPr>
          <w:rFonts w:ascii="黑体" w:eastAsia="黑体" w:hAnsi="黑体"/>
          <w:b/>
          <w:bCs/>
          <w:color w:val="000000"/>
          <w:sz w:val="24"/>
        </w:rPr>
      </w:pPr>
    </w:p>
    <w:p w:rsidR="00494804" w:rsidRDefault="00494804" w:rsidP="00494804">
      <w:pPr>
        <w:spacing w:line="360" w:lineRule="auto"/>
        <w:rPr>
          <w:rFonts w:ascii="黑体" w:eastAsia="黑体" w:hAnsi="黑体"/>
          <w:b/>
          <w:bCs/>
          <w:color w:val="000000"/>
          <w:sz w:val="24"/>
        </w:rPr>
      </w:pPr>
      <w:r>
        <w:rPr>
          <w:rFonts w:ascii="黑体" w:eastAsia="黑体" w:hAnsi="黑体" w:hint="eastAsia"/>
          <w:b/>
          <w:bCs/>
          <w:color w:val="000000"/>
          <w:sz w:val="24"/>
        </w:rPr>
        <w:lastRenderedPageBreak/>
        <w:t>附件3</w:t>
      </w:r>
    </w:p>
    <w:p w:rsidR="00494804" w:rsidRDefault="00494804" w:rsidP="00494804">
      <w:pPr>
        <w:widowControl/>
        <w:spacing w:line="360" w:lineRule="auto"/>
        <w:jc w:val="center"/>
        <w:rPr>
          <w:rFonts w:ascii="方正小标宋简体" w:eastAsia="方正小标宋简体" w:hAnsi="宋体"/>
          <w:sz w:val="32"/>
          <w:szCs w:val="32"/>
        </w:rPr>
      </w:pPr>
      <w:r>
        <w:rPr>
          <w:rFonts w:ascii="方正小标宋简体" w:eastAsia="方正小标宋简体" w:hAnsi="宋体" w:hint="eastAsia"/>
          <w:sz w:val="32"/>
          <w:szCs w:val="32"/>
        </w:rPr>
        <w:t>博士研究生助学金导师出资部分汇总表</w:t>
      </w:r>
      <w:bookmarkEnd w:id="71"/>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3508"/>
        <w:gridCol w:w="3225"/>
      </w:tblGrid>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b/>
                <w:sz w:val="24"/>
              </w:rPr>
            </w:pPr>
            <w:r>
              <w:rPr>
                <w:rFonts w:ascii="仿宋_GB2312" w:eastAsia="仿宋_GB2312" w:hAnsi="宋体" w:hint="eastAsia"/>
                <w:b/>
                <w:sz w:val="24"/>
              </w:rPr>
              <w:t>学院代码</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b/>
                <w:sz w:val="24"/>
              </w:rPr>
            </w:pPr>
            <w:r>
              <w:rPr>
                <w:rFonts w:ascii="仿宋_GB2312" w:eastAsia="仿宋_GB2312" w:hAnsi="宋体" w:hint="eastAsia"/>
                <w:b/>
                <w:sz w:val="24"/>
              </w:rPr>
              <w:t>学院名称</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b/>
                <w:sz w:val="24"/>
              </w:rPr>
            </w:pPr>
            <w:r>
              <w:rPr>
                <w:rFonts w:ascii="仿宋_GB2312" w:eastAsia="仿宋_GB2312" w:hAnsi="宋体" w:hint="eastAsia"/>
                <w:b/>
                <w:sz w:val="24"/>
              </w:rPr>
              <w:t>导师支付金额（元/月）</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010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建筑与城市规划学院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020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土木工程学院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800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030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机械与能源工程学院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040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经济与管理学院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050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环境科学与工程学院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800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060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材料科学与工程学院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080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电子与信息工程学院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500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090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外国语学院 *</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400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101</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航空航天与力学学院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400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102</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数学系 *</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500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103</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物理科学与工程学院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104</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化学系</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110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医学院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114</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口腔医学院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120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交通运输工程学院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800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140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铁道与城市轨道交通研究院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800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160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生命科学与技术学院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170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软件学院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700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180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汽车学院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800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190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海洋与地球科学学院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600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210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人文学院 *</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400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lastRenderedPageBreak/>
              <w:t>240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法学院 *</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400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260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马克思主义学院 *</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400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250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政治与国际关系学院 *</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400</w:t>
            </w:r>
          </w:p>
        </w:tc>
      </w:tr>
      <w:tr w:rsidR="00494804" w:rsidTr="007F330C">
        <w:trPr>
          <w:trHeight w:hRule="exact" w:val="567"/>
          <w:jc w:val="center"/>
        </w:trPr>
        <w:tc>
          <w:tcPr>
            <w:tcW w:w="1266"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290</w:t>
            </w:r>
          </w:p>
        </w:tc>
        <w:tc>
          <w:tcPr>
            <w:tcW w:w="3508"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测绘与地理信息学院</w:t>
            </w:r>
          </w:p>
        </w:tc>
        <w:tc>
          <w:tcPr>
            <w:tcW w:w="3225" w:type="dxa"/>
            <w:shd w:val="clear" w:color="auto" w:fill="auto"/>
            <w:vAlign w:val="center"/>
          </w:tcPr>
          <w:p w:rsidR="00494804" w:rsidRDefault="00494804" w:rsidP="007F330C">
            <w:pPr>
              <w:adjustRightInd w:val="0"/>
              <w:snapToGrid w:val="0"/>
              <w:jc w:val="center"/>
              <w:rPr>
                <w:rFonts w:ascii="仿宋_GB2312" w:eastAsia="仿宋_GB2312" w:hAnsi="宋体"/>
                <w:sz w:val="24"/>
              </w:rPr>
            </w:pPr>
            <w:r>
              <w:rPr>
                <w:rFonts w:ascii="仿宋_GB2312" w:eastAsia="仿宋_GB2312" w:hAnsi="宋体" w:hint="eastAsia"/>
                <w:sz w:val="24"/>
              </w:rPr>
              <w:t>400</w:t>
            </w:r>
          </w:p>
        </w:tc>
      </w:tr>
    </w:tbl>
    <w:p w:rsidR="00494804" w:rsidRDefault="00494804" w:rsidP="00494804">
      <w:pPr>
        <w:adjustRightInd w:val="0"/>
        <w:snapToGrid w:val="0"/>
        <w:spacing w:line="584" w:lineRule="exact"/>
        <w:ind w:firstLine="658"/>
        <w:rPr>
          <w:rFonts w:asciiTheme="minorEastAsia" w:eastAsiaTheme="minorEastAsia" w:hAnsiTheme="minorEastAsia"/>
          <w:sz w:val="24"/>
        </w:rPr>
      </w:pPr>
      <w:r>
        <w:rPr>
          <w:rFonts w:asciiTheme="minorEastAsia" w:eastAsiaTheme="minorEastAsia" w:hAnsiTheme="minorEastAsia" w:hint="eastAsia"/>
          <w:sz w:val="24"/>
        </w:rPr>
        <w:t>标注*的学院招生导师可申请扶持基金。</w:t>
      </w:r>
    </w:p>
    <w:p w:rsidR="00494804" w:rsidRDefault="00494804" w:rsidP="00494804">
      <w:pPr>
        <w:spacing w:line="360" w:lineRule="auto"/>
        <w:ind w:firstLineChars="200" w:firstLine="480"/>
        <w:jc w:val="left"/>
        <w:rPr>
          <w:rFonts w:asciiTheme="minorEastAsia" w:eastAsiaTheme="minorEastAsia" w:hAnsiTheme="minorEastAsia"/>
          <w:bCs/>
          <w:sz w:val="24"/>
        </w:rPr>
      </w:pPr>
    </w:p>
    <w:p w:rsidR="00B578F0" w:rsidRPr="00494804" w:rsidRDefault="00B578F0"/>
    <w:sectPr w:rsidR="00B578F0" w:rsidRPr="004948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EAE" w:rsidRDefault="00264EAE" w:rsidP="00494804">
      <w:r>
        <w:separator/>
      </w:r>
    </w:p>
  </w:endnote>
  <w:endnote w:type="continuationSeparator" w:id="0">
    <w:p w:rsidR="00264EAE" w:rsidRDefault="00264EAE" w:rsidP="0049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EAE" w:rsidRDefault="00264EAE" w:rsidP="00494804">
      <w:r>
        <w:separator/>
      </w:r>
    </w:p>
  </w:footnote>
  <w:footnote w:type="continuationSeparator" w:id="0">
    <w:p w:rsidR="00264EAE" w:rsidRDefault="00264EAE" w:rsidP="00494804">
      <w:r>
        <w:continuationSeparator/>
      </w:r>
    </w:p>
  </w:footnote>
  <w:footnote w:id="1">
    <w:p w:rsidR="00494804" w:rsidRDefault="00494804" w:rsidP="00494804">
      <w:pPr>
        <w:pStyle w:val="a3"/>
        <w:ind w:firstLine="360"/>
        <w:rPr>
          <w:rFonts w:ascii="仿宋_GB2312" w:eastAsia="仿宋_GB2312"/>
          <w:sz w:val="21"/>
          <w:szCs w:val="21"/>
        </w:rPr>
      </w:pPr>
      <w:r>
        <w:rPr>
          <w:rStyle w:val="a5"/>
          <w:rFonts w:ascii="仿宋_GB2312" w:eastAsia="仿宋_GB2312" w:hint="eastAsia"/>
        </w:rPr>
        <w:footnoteRef/>
      </w:r>
      <w:r>
        <w:rPr>
          <w:rFonts w:ascii="仿宋_GB2312" w:eastAsia="仿宋_GB2312" w:hint="eastAsia"/>
          <w:sz w:val="21"/>
          <w:szCs w:val="21"/>
        </w:rPr>
        <w:t>此处中期考核不合格指的是按学制的正常中期考核，缓中期考核的情况按照缓考处理。中期考核有关规定：“院系中期考核小组应对每位博士生进行综合考评，考核不通过者半年后再次进行考核，再次中期考核不通过者，按中期考核不合格处理。”摘自</w:t>
      </w:r>
      <w:r>
        <w:rPr>
          <w:rFonts w:ascii="仿宋_GB2312" w:eastAsia="仿宋_GB2312" w:hint="eastAsia"/>
          <w:b/>
          <w:sz w:val="21"/>
          <w:szCs w:val="21"/>
        </w:rPr>
        <w:t>《同济大学攻读博士学位研究生培养工作规定》</w:t>
      </w:r>
      <w:r>
        <w:rPr>
          <w:rFonts w:ascii="仿宋_GB2312" w:eastAsia="仿宋_GB2312" w:hint="eastAsia"/>
          <w:sz w:val="21"/>
          <w:szCs w:val="21"/>
        </w:rPr>
        <w:t>同研[2007]158号文。“中期考核不合格者或在规定时间内不能完成学位论文的应予以退学” 摘自《</w:t>
      </w:r>
      <w:r>
        <w:rPr>
          <w:rFonts w:ascii="仿宋_GB2312" w:eastAsia="仿宋_GB2312" w:hint="eastAsia"/>
          <w:b/>
          <w:sz w:val="21"/>
          <w:szCs w:val="21"/>
        </w:rPr>
        <w:t>同济大学研究生学籍管理规定》</w:t>
      </w:r>
      <w:r>
        <w:rPr>
          <w:rFonts w:ascii="仿宋_GB2312" w:eastAsia="仿宋_GB2312" w:hint="eastAsia"/>
          <w:sz w:val="21"/>
          <w:szCs w:val="21"/>
        </w:rPr>
        <w:t>同研[2005]072号文。</w:t>
      </w:r>
    </w:p>
  </w:footnote>
  <w:footnote w:id="2">
    <w:p w:rsidR="00494804" w:rsidRDefault="00494804" w:rsidP="00494804">
      <w:pPr>
        <w:pStyle w:val="a3"/>
        <w:ind w:firstLine="360"/>
        <w:rPr>
          <w:rFonts w:ascii="仿宋_GB2312" w:eastAsia="仿宋_GB2312"/>
          <w:sz w:val="21"/>
          <w:szCs w:val="21"/>
        </w:rPr>
      </w:pPr>
      <w:r>
        <w:rPr>
          <w:rStyle w:val="a5"/>
          <w:rFonts w:ascii="仿宋_GB2312" w:eastAsia="仿宋_GB2312" w:hint="eastAsia"/>
        </w:rPr>
        <w:footnoteRef/>
      </w:r>
      <w:r>
        <w:rPr>
          <w:rFonts w:ascii="仿宋_GB2312" w:eastAsia="仿宋_GB2312" w:hint="eastAsia"/>
          <w:sz w:val="21"/>
          <w:szCs w:val="21"/>
        </w:rPr>
        <w:t xml:space="preserve"> 具体规定见《同济大学研究生学术行为规范》。</w:t>
      </w:r>
    </w:p>
  </w:footnote>
  <w:footnote w:id="3">
    <w:p w:rsidR="00494804" w:rsidRDefault="00494804" w:rsidP="00494804">
      <w:pPr>
        <w:pStyle w:val="a3"/>
        <w:ind w:firstLine="360"/>
        <w:rPr>
          <w:rFonts w:ascii="仿宋_GB2312" w:eastAsia="仿宋_GB2312"/>
          <w:kern w:val="2"/>
          <w:sz w:val="21"/>
          <w:szCs w:val="21"/>
        </w:rPr>
      </w:pPr>
      <w:r>
        <w:rPr>
          <w:rStyle w:val="a5"/>
          <w:rFonts w:ascii="仿宋_GB2312" w:eastAsia="仿宋_GB2312" w:hint="eastAsia"/>
        </w:rPr>
        <w:footnoteRef/>
      </w:r>
      <w:r>
        <w:rPr>
          <w:rFonts w:ascii="仿宋_GB2312" w:eastAsia="仿宋_GB2312" w:hint="eastAsia"/>
          <w:sz w:val="21"/>
          <w:szCs w:val="21"/>
        </w:rPr>
        <w:t>具体规定见《同济大学研究生学术行为规范》。</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804"/>
    <w:rsid w:val="00044E24"/>
    <w:rsid w:val="000B4481"/>
    <w:rsid w:val="000D1AA6"/>
    <w:rsid w:val="001C5814"/>
    <w:rsid w:val="00261AF5"/>
    <w:rsid w:val="00264EAE"/>
    <w:rsid w:val="002B5B8B"/>
    <w:rsid w:val="002E5E7E"/>
    <w:rsid w:val="004802C0"/>
    <w:rsid w:val="00494804"/>
    <w:rsid w:val="004C3BD4"/>
    <w:rsid w:val="005B7CC8"/>
    <w:rsid w:val="0062276F"/>
    <w:rsid w:val="00673824"/>
    <w:rsid w:val="006F11BF"/>
    <w:rsid w:val="0078099F"/>
    <w:rsid w:val="00892D29"/>
    <w:rsid w:val="008D1A3E"/>
    <w:rsid w:val="00900404"/>
    <w:rsid w:val="00AD470B"/>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E54FA2-D6D3-451E-B7CA-47A59AFA0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8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qFormat/>
    <w:rsid w:val="00494804"/>
    <w:pPr>
      <w:snapToGrid w:val="0"/>
      <w:spacing w:line="560" w:lineRule="exact"/>
      <w:ind w:firstLineChars="200" w:firstLine="600"/>
      <w:jc w:val="left"/>
    </w:pPr>
    <w:rPr>
      <w:kern w:val="0"/>
      <w:sz w:val="18"/>
      <w:szCs w:val="18"/>
    </w:rPr>
  </w:style>
  <w:style w:type="character" w:customStyle="1" w:styleId="a4">
    <w:name w:val="脚注文本 字符"/>
    <w:basedOn w:val="a0"/>
    <w:link w:val="a3"/>
    <w:qFormat/>
    <w:rsid w:val="00494804"/>
    <w:rPr>
      <w:rFonts w:ascii="Times New Roman" w:eastAsia="宋体" w:hAnsi="Times New Roman" w:cs="Times New Roman"/>
      <w:kern w:val="0"/>
      <w:sz w:val="18"/>
      <w:szCs w:val="18"/>
    </w:rPr>
  </w:style>
  <w:style w:type="character" w:styleId="a5">
    <w:name w:val="footnote reference"/>
    <w:qFormat/>
    <w:rsid w:val="004948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1047</Words>
  <Characters>5969</Characters>
  <Application>Microsoft Office Word</Application>
  <DocSecurity>0</DocSecurity>
  <Lines>49</Lines>
  <Paragraphs>14</Paragraphs>
  <ScaleCrop>false</ScaleCrop>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2017-07-11T01:22:00Z</dcterms:created>
  <dcterms:modified xsi:type="dcterms:W3CDTF">2017-07-11T01:23:00Z</dcterms:modified>
</cp:coreProperties>
</file>