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847" w:rsidRDefault="006C4847" w:rsidP="006C4847">
      <w:pPr>
        <w:pageBreakBefore/>
        <w:tabs>
          <w:tab w:val="left" w:pos="1482"/>
        </w:tabs>
        <w:spacing w:beforeLines="100" w:before="312" w:afterLines="100" w:after="312" w:line="360" w:lineRule="auto"/>
        <w:jc w:val="center"/>
        <w:outlineLvl w:val="0"/>
        <w:rPr>
          <w:rFonts w:ascii="Arial" w:eastAsia="黑体" w:hAnsi="Arial"/>
          <w:b/>
          <w:bCs/>
          <w:sz w:val="32"/>
          <w:szCs w:val="32"/>
        </w:rPr>
      </w:pPr>
      <w:bookmarkStart w:id="0" w:name="_Toc457580724"/>
      <w:r>
        <w:rPr>
          <w:rFonts w:ascii="Arial" w:eastAsia="黑体" w:hAnsi="Arial" w:hint="eastAsia"/>
          <w:b/>
          <w:bCs/>
          <w:sz w:val="32"/>
          <w:szCs w:val="32"/>
        </w:rPr>
        <w:t>同济大学研究生奖学金管理办法</w:t>
      </w:r>
      <w:bookmarkEnd w:id="0"/>
    </w:p>
    <w:p w:rsidR="006C4847" w:rsidRDefault="006C4847" w:rsidP="006C4847">
      <w:pPr>
        <w:adjustRightInd w:val="0"/>
        <w:spacing w:line="360" w:lineRule="auto"/>
        <w:ind w:firstLineChars="200" w:firstLine="420"/>
        <w:jc w:val="center"/>
        <w:rPr>
          <w:rFonts w:ascii="宋体" w:hAnsi="宋体"/>
          <w:bCs/>
          <w:szCs w:val="21"/>
        </w:rPr>
      </w:pPr>
      <w:bookmarkStart w:id="1" w:name="编号"/>
      <w:r>
        <w:rPr>
          <w:rFonts w:ascii="宋体" w:hAnsi="宋体" w:hint="eastAsia"/>
          <w:bCs/>
          <w:szCs w:val="21"/>
        </w:rPr>
        <w:t>同济</w:t>
      </w:r>
      <w:proofErr w:type="gramStart"/>
      <w:r>
        <w:rPr>
          <w:rFonts w:ascii="宋体" w:hAnsi="宋体" w:hint="eastAsia"/>
          <w:bCs/>
          <w:szCs w:val="21"/>
        </w:rPr>
        <w:t>研</w:t>
      </w:r>
      <w:proofErr w:type="gramEnd"/>
      <w:r>
        <w:rPr>
          <w:rFonts w:ascii="宋体" w:hAnsi="宋体" w:hint="eastAsia"/>
          <w:bCs/>
          <w:szCs w:val="21"/>
        </w:rPr>
        <w:t>〔2015〕42号</w:t>
      </w:r>
      <w:bookmarkEnd w:id="1"/>
      <w:r>
        <w:rPr>
          <w:rFonts w:ascii="宋体" w:hAnsi="宋体" w:hint="eastAsia"/>
          <w:bCs/>
          <w:szCs w:val="21"/>
        </w:rPr>
        <w:t xml:space="preserve"> </w:t>
      </w:r>
    </w:p>
    <w:p w:rsidR="006C4847" w:rsidRDefault="006C4847" w:rsidP="006C4847">
      <w:pPr>
        <w:adjustRightInd w:val="0"/>
        <w:spacing w:afterLines="100" w:after="312" w:line="360" w:lineRule="auto"/>
        <w:ind w:firstLineChars="200" w:firstLine="420"/>
        <w:jc w:val="center"/>
        <w:rPr>
          <w:rFonts w:ascii="宋体" w:hAnsi="宋体"/>
          <w:bCs/>
          <w:szCs w:val="21"/>
        </w:rPr>
      </w:pPr>
      <w:r>
        <w:rPr>
          <w:rFonts w:ascii="宋体" w:hAnsi="宋体" w:hint="eastAsia"/>
          <w:bCs/>
          <w:szCs w:val="21"/>
        </w:rPr>
        <w:t>（2015年修订）</w:t>
      </w:r>
    </w:p>
    <w:p w:rsidR="006C4847" w:rsidRDefault="006C4847" w:rsidP="006C4847">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第一章  总  则</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第一条</w:t>
      </w:r>
      <w:r>
        <w:rPr>
          <w:rFonts w:asciiTheme="minorEastAsia" w:eastAsiaTheme="minorEastAsia" w:hAnsiTheme="minorEastAsia" w:cs="Arial" w:hint="eastAsia"/>
          <w:kern w:val="0"/>
          <w:sz w:val="24"/>
        </w:rPr>
        <w:t xml:space="preserve">  为了激励我校研究生勤奋学习，刻苦钻研，积极进取，促进研究生全面发展，根据高校研究生培养的总体目标，结合我校研究生培养的实际情况，制定本办法。</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第二条</w:t>
      </w:r>
      <w:r>
        <w:rPr>
          <w:rFonts w:asciiTheme="minorEastAsia" w:eastAsiaTheme="minorEastAsia" w:hAnsiTheme="minorEastAsia" w:cs="Arial" w:hint="eastAsia"/>
          <w:kern w:val="0"/>
          <w:sz w:val="24"/>
        </w:rPr>
        <w:t xml:space="preserve">  本办法适用于研究生国家奖学金、校级研究生奖学金（包括社会捐资设立的校级研究生奖学金和学校出资设立的奖励性质的研究生奖学金）以及在学校相关部门备案并与校级研究生奖学金统一评审的院（系）级研究生奖学金。面向港澳台研究生、外国来华留学研究生的奖学金管理办法，由学校另行制定。</w:t>
      </w:r>
    </w:p>
    <w:p w:rsidR="006C4847" w:rsidRDefault="006C4847" w:rsidP="006C4847">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第二章  奖励标准</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第三条</w:t>
      </w:r>
      <w:r>
        <w:rPr>
          <w:rFonts w:asciiTheme="minorEastAsia" w:eastAsiaTheme="minorEastAsia" w:hAnsiTheme="minorEastAsia" w:cs="Arial" w:hint="eastAsia"/>
          <w:kern w:val="0"/>
          <w:sz w:val="24"/>
        </w:rPr>
        <w:t xml:space="preserve">  研究生国家奖学金的奖励标准由国家制定，目前标准为：博士研究生国家奖学金3万元/人，硕士研究生国家奖学金2万元/人。</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第四条</w:t>
      </w:r>
      <w:r>
        <w:rPr>
          <w:rFonts w:asciiTheme="minorEastAsia" w:eastAsiaTheme="minorEastAsia" w:hAnsiTheme="minorEastAsia" w:cs="Arial" w:hint="eastAsia"/>
          <w:kern w:val="0"/>
          <w:sz w:val="24"/>
        </w:rPr>
        <w:t xml:space="preserve">  </w:t>
      </w:r>
      <w:r>
        <w:rPr>
          <w:rFonts w:asciiTheme="minorEastAsia" w:eastAsiaTheme="minorEastAsia" w:hAnsiTheme="minorEastAsia" w:cs="Arial" w:hint="eastAsia"/>
          <w:spacing w:val="-8"/>
          <w:kern w:val="0"/>
          <w:sz w:val="24"/>
        </w:rPr>
        <w:t>学校出资设立的奖励性质的研究生奖学金奖励标准：优秀博士新生奖学金5000元/人，优秀博士生奖学金1万元/人，优秀硕士生奖学金5000元/人，研究生社会活动奖学金5000元/人。</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第五条</w:t>
      </w:r>
      <w:r>
        <w:rPr>
          <w:rFonts w:asciiTheme="minorEastAsia" w:eastAsiaTheme="minorEastAsia" w:hAnsiTheme="minorEastAsia" w:cs="Arial" w:hint="eastAsia"/>
          <w:kern w:val="0"/>
          <w:sz w:val="24"/>
        </w:rPr>
        <w:t xml:space="preserve">  社会捐资设立的校级研究生奖学金奖励标准，根据捐赠协议确定。</w:t>
      </w:r>
    </w:p>
    <w:p w:rsidR="006C4847" w:rsidRDefault="006C4847" w:rsidP="006C4847">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第三章  奖励对象和基本申请条件</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第六条</w:t>
      </w:r>
      <w:r>
        <w:rPr>
          <w:rFonts w:asciiTheme="minorEastAsia" w:eastAsiaTheme="minorEastAsia" w:hAnsiTheme="minorEastAsia" w:cs="Arial" w:hint="eastAsia"/>
          <w:kern w:val="0"/>
          <w:sz w:val="24"/>
        </w:rPr>
        <w:t xml:space="preserve">  本办法所指研究生奖学金的奖励对象，为在我校就读的具有中华人民共和国国籍且纳入全国研究生招生计划的全日制（全脱产学习）研究生。除特别说明外，一般为以下各类研究生（分类标准详见附件）：普通研究生中的非定向学术型硕士研究生、非定向专业学位硕士研究生、非定向学术型博士研究生、非定向专业学位博士研究生，以及非在职的少数民族高层次骨干人才计划研究生。除特别注明年级或修读期限的，均为最长修读年限内的研究生。</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lastRenderedPageBreak/>
        <w:t>第七条</w:t>
      </w:r>
      <w:r>
        <w:rPr>
          <w:rFonts w:asciiTheme="minorEastAsia" w:eastAsiaTheme="minorEastAsia" w:hAnsiTheme="minorEastAsia" w:cs="Arial" w:hint="eastAsia"/>
          <w:kern w:val="0"/>
          <w:sz w:val="24"/>
        </w:rPr>
        <w:t xml:space="preserve">  研究生奖学金的基本申请条件为：</w:t>
      </w:r>
    </w:p>
    <w:p w:rsidR="006C4847" w:rsidRDefault="006C4847" w:rsidP="006C4847">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1.热爱社会主义祖国，拥护中国共产党的领导；</w:t>
      </w:r>
    </w:p>
    <w:p w:rsidR="006C4847" w:rsidRDefault="006C4847" w:rsidP="006C4847">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2.遵守宪法和法律，遵守学校各项规章制度；</w:t>
      </w:r>
    </w:p>
    <w:p w:rsidR="006C4847" w:rsidRDefault="006C4847" w:rsidP="006C4847">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3.诚实守信，道德品质优良；</w:t>
      </w:r>
    </w:p>
    <w:p w:rsidR="006C4847" w:rsidRDefault="006C4847" w:rsidP="006C4847">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4.积极参加校内外科研和各种有益活动；</w:t>
      </w:r>
    </w:p>
    <w:p w:rsidR="006C4847" w:rsidRDefault="006C4847" w:rsidP="006C4847">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cs="Arial" w:hint="eastAsia"/>
          <w:kern w:val="0"/>
          <w:sz w:val="24"/>
        </w:rPr>
        <w:t>5.勤奋学习，刻苦钻研，</w:t>
      </w:r>
      <w:r>
        <w:rPr>
          <w:rFonts w:asciiTheme="minorEastAsia" w:eastAsiaTheme="minorEastAsia" w:hAnsiTheme="minorEastAsia" w:hint="eastAsia"/>
          <w:bCs/>
          <w:sz w:val="24"/>
        </w:rPr>
        <w:t>学习成绩优秀，科研成绩明显，发展潜力突出。学术型研究生要有较强的科研创新能力，原则上要有体现创新能力的科研成果；专业学位研究生要有较强的专业实践能力和适应专业岗位的综合素质。</w:t>
      </w:r>
    </w:p>
    <w:p w:rsidR="006C4847" w:rsidRDefault="006C4847" w:rsidP="006C4847">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6.申请研究生社会活动奖学金者，要求积极参与组织各种有益活动或积极参加公益活动且表现突出。</w:t>
      </w:r>
    </w:p>
    <w:p w:rsidR="006C4847" w:rsidRDefault="006C4847" w:rsidP="006C4847">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7.申请面向新生的奖学金者，要求入学考试成绩或考核评价结果名列前茅，并在入学前一阶段取得突出成绩。</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第八条</w:t>
      </w:r>
      <w:r>
        <w:rPr>
          <w:rFonts w:asciiTheme="minorEastAsia" w:eastAsiaTheme="minorEastAsia" w:hAnsiTheme="minorEastAsia" w:cs="Arial" w:hint="eastAsia"/>
          <w:kern w:val="0"/>
          <w:sz w:val="24"/>
        </w:rPr>
        <w:t xml:space="preserve">  出现以下情况的研究生，不得参加研究生奖学金的评审：</w:t>
      </w:r>
    </w:p>
    <w:p w:rsidR="006C4847" w:rsidRDefault="006C4847" w:rsidP="006C4847">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1.上一年内出现过课程考核成绩不及格者。</w:t>
      </w:r>
    </w:p>
    <w:p w:rsidR="006C4847" w:rsidRDefault="006C4847" w:rsidP="006C4847">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2.有学术不端行为经查证属实者。</w:t>
      </w:r>
    </w:p>
    <w:p w:rsidR="006C4847" w:rsidRDefault="006C4847" w:rsidP="006C4847">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3.无正当事由未按规定注册者。</w:t>
      </w:r>
    </w:p>
    <w:p w:rsidR="006C4847" w:rsidRDefault="006C4847" w:rsidP="006C4847">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4.参评学年学籍处于休学、保留学籍者。</w:t>
      </w:r>
    </w:p>
    <w:p w:rsidR="006C4847" w:rsidRDefault="006C4847" w:rsidP="006C4847">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5.违反国家法律、校纪校规受到纪律处分者。受学校记过以下处分者，一年内不得参加评审；受记过及记过以上处分者，在校期间不得参加评审。</w:t>
      </w:r>
    </w:p>
    <w:p w:rsidR="006C4847" w:rsidRDefault="006C4847" w:rsidP="006C4847">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第四章  评审组织</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第九条</w:t>
      </w:r>
      <w:r>
        <w:rPr>
          <w:rFonts w:asciiTheme="minorEastAsia" w:eastAsiaTheme="minorEastAsia" w:hAnsiTheme="minorEastAsia" w:cs="Arial" w:hint="eastAsia"/>
          <w:kern w:val="0"/>
          <w:sz w:val="24"/>
        </w:rPr>
        <w:t xml:space="preserve">  学校成立研究生奖学金评审委员会。评审委员会由主管校领导、相关职能部门负责人、导师代表组成，负责制定本办法，确定奖学金名额分配方案，统筹领导、协调、监督评审工作，裁决研究生对评审结果的申诉。评审委员会下设秘书处，秘书处成员由研究生院、研究生工作部相关负责老师组成。</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第十条</w:t>
      </w:r>
      <w:r>
        <w:rPr>
          <w:rFonts w:asciiTheme="minorEastAsia" w:eastAsiaTheme="minorEastAsia" w:hAnsiTheme="minorEastAsia" w:cs="Arial" w:hint="eastAsia"/>
          <w:kern w:val="0"/>
          <w:sz w:val="24"/>
        </w:rPr>
        <w:t xml:space="preserve">  院（系）应成立各自的研究生奖学金评审委员会，并报秘书处备案。评审委员会由院（系）主要领导任主任委员，研究生导师、党政管理人员、学生代表任委员，负责本单位研究生奖学金评审实施细则制定、申请组织、初步评审以及本单位公示期间的异议裁决等工作。</w:t>
      </w:r>
    </w:p>
    <w:p w:rsidR="006C4847" w:rsidRDefault="006C4847" w:rsidP="006C4847">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lastRenderedPageBreak/>
        <w:t>第五章  评审原则</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第十一条</w:t>
      </w:r>
      <w:r>
        <w:rPr>
          <w:rFonts w:asciiTheme="minorEastAsia" w:eastAsiaTheme="minorEastAsia" w:hAnsiTheme="minorEastAsia" w:cs="Arial" w:hint="eastAsia"/>
          <w:kern w:val="0"/>
          <w:sz w:val="24"/>
        </w:rPr>
        <w:t xml:space="preserve">  研究生奖学金的评审工作，应坚持公开、公平、公正、择优和依法依章的原则，杜绝弄虚作假。</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第十二条</w:t>
      </w:r>
      <w:r>
        <w:rPr>
          <w:rFonts w:asciiTheme="minorEastAsia" w:eastAsiaTheme="minorEastAsia" w:hAnsiTheme="minorEastAsia" w:cs="Arial" w:hint="eastAsia"/>
          <w:kern w:val="0"/>
          <w:sz w:val="24"/>
        </w:rPr>
        <w:t xml:space="preserve">  学校按总体获奖比例基本均衡的原则确定各院（系）名额，各院（系）应合</w:t>
      </w:r>
      <w:proofErr w:type="gramStart"/>
      <w:r>
        <w:rPr>
          <w:rFonts w:asciiTheme="minorEastAsia" w:eastAsiaTheme="minorEastAsia" w:hAnsiTheme="minorEastAsia" w:cs="Arial" w:hint="eastAsia"/>
          <w:kern w:val="0"/>
          <w:sz w:val="24"/>
        </w:rPr>
        <w:t>理考虑</w:t>
      </w:r>
      <w:proofErr w:type="gramEnd"/>
      <w:r>
        <w:rPr>
          <w:rFonts w:asciiTheme="minorEastAsia" w:eastAsiaTheme="minorEastAsia" w:hAnsiTheme="minorEastAsia" w:cs="Arial" w:hint="eastAsia"/>
          <w:kern w:val="0"/>
          <w:sz w:val="24"/>
        </w:rPr>
        <w:t>各年级研究生奖学金的比例。</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第十三条</w:t>
      </w:r>
      <w:r>
        <w:rPr>
          <w:rFonts w:asciiTheme="minorEastAsia" w:eastAsiaTheme="minorEastAsia" w:hAnsiTheme="minorEastAsia" w:cs="Arial" w:hint="eastAsia"/>
          <w:kern w:val="0"/>
          <w:sz w:val="24"/>
        </w:rPr>
        <w:t xml:space="preserve">  综合考虑思想道德、学习成绩、科研成果、社会活动等方面，对博士生要侧重考虑科研成果。</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第十四条</w:t>
      </w:r>
      <w:r>
        <w:rPr>
          <w:rFonts w:asciiTheme="minorEastAsia" w:eastAsiaTheme="minorEastAsia" w:hAnsiTheme="minorEastAsia" w:cs="Arial" w:hint="eastAsia"/>
          <w:kern w:val="0"/>
          <w:sz w:val="24"/>
        </w:rPr>
        <w:t xml:space="preserve">  学校和院（系）的评审委员会，均要采用无记名投票表决的方式确定研究生奖学金名单。在履行评审工作职责时，评审委员会成员应遵循平等、回避、公正、保密的原则。</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第十五条</w:t>
      </w:r>
      <w:r>
        <w:rPr>
          <w:rFonts w:asciiTheme="minorEastAsia" w:eastAsiaTheme="minorEastAsia" w:hAnsiTheme="minorEastAsia" w:cs="Arial" w:hint="eastAsia"/>
          <w:kern w:val="0"/>
          <w:sz w:val="24"/>
        </w:rPr>
        <w:t xml:space="preserve">  研究生国家奖学金和纳入统一评审范围的校级研究生奖学金，在同一评审年度内不能兼得。</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第十六条</w:t>
      </w:r>
      <w:r>
        <w:rPr>
          <w:rFonts w:asciiTheme="minorEastAsia" w:eastAsiaTheme="minorEastAsia" w:hAnsiTheme="minorEastAsia" w:cs="Arial" w:hint="eastAsia"/>
          <w:color w:val="000000"/>
          <w:kern w:val="0"/>
          <w:sz w:val="24"/>
        </w:rPr>
        <w:t xml:space="preserve">  申请研究生国家奖学金者，可使用上一年度申请截止日至本年度申请截止日</w:t>
      </w:r>
      <w:r>
        <w:rPr>
          <w:rFonts w:asciiTheme="minorEastAsia" w:eastAsiaTheme="minorEastAsia" w:hAnsiTheme="minorEastAsia" w:cs="Arial" w:hint="eastAsia"/>
          <w:color w:val="000000"/>
          <w:kern w:val="0"/>
          <w:sz w:val="24"/>
          <w:vertAlign w:val="superscript"/>
        </w:rPr>
        <w:t>[*]</w:t>
      </w:r>
      <w:r>
        <w:rPr>
          <w:rFonts w:asciiTheme="minorEastAsia" w:eastAsiaTheme="minorEastAsia" w:hAnsiTheme="minorEastAsia" w:cs="Arial" w:hint="eastAsia"/>
          <w:color w:val="000000"/>
          <w:kern w:val="0"/>
          <w:sz w:val="24"/>
        </w:rPr>
        <w:t>之间的各类申请材料（申请研究生新生国家奖学金者，原则上可使用入学之日前三年内的各类支撑材料，但不含获得研究生国家奖学金曾使用过的材料）。</w:t>
      </w:r>
      <w:r>
        <w:rPr>
          <w:rFonts w:asciiTheme="minorEastAsia" w:eastAsiaTheme="minorEastAsia" w:hAnsiTheme="minorEastAsia" w:cs="Arial" w:hint="eastAsia"/>
          <w:kern w:val="0"/>
          <w:sz w:val="24"/>
        </w:rPr>
        <w:t>申请优秀博士新生奖学金的可用支撑材料时间段，由各院（系）根据学科特点确定。申请其他校级研究生奖学金时，可使用上一学年申请截止日至本学年申请截止日之间的各类支撑材料。</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第十七条</w:t>
      </w:r>
      <w:r>
        <w:rPr>
          <w:rFonts w:asciiTheme="minorEastAsia" w:eastAsiaTheme="minorEastAsia" w:hAnsiTheme="minorEastAsia" w:cs="Arial" w:hint="eastAsia"/>
          <w:kern w:val="0"/>
          <w:sz w:val="24"/>
        </w:rPr>
        <w:t xml:space="preserve">  除申请面向新生的奖学金外，作为评审支撑材料使用的公开发表的学术论文，第一署名单位必须为同济大学。</w:t>
      </w:r>
    </w:p>
    <w:p w:rsidR="006C4847" w:rsidRDefault="006C4847" w:rsidP="006C4847">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第六章  申请、评审程序</w:t>
      </w:r>
    </w:p>
    <w:p w:rsidR="006C4847" w:rsidRDefault="006C4847" w:rsidP="006C4847">
      <w:pPr>
        <w:spacing w:line="360" w:lineRule="auto"/>
        <w:ind w:firstLineChars="200" w:firstLine="482"/>
        <w:rPr>
          <w:rFonts w:asciiTheme="minorEastAsia" w:eastAsiaTheme="minorEastAsia" w:hAnsiTheme="minorEastAsia"/>
          <w:bCs/>
          <w:sz w:val="24"/>
        </w:rPr>
      </w:pPr>
      <w:r>
        <w:rPr>
          <w:rFonts w:ascii="黑体" w:eastAsia="黑体" w:hAnsi="黑体" w:hint="eastAsia"/>
          <w:b/>
          <w:bCs/>
          <w:sz w:val="24"/>
        </w:rPr>
        <w:t>第十八条</w:t>
      </w:r>
      <w:r>
        <w:rPr>
          <w:rFonts w:asciiTheme="minorEastAsia" w:eastAsiaTheme="minorEastAsia" w:hAnsiTheme="minorEastAsia" w:cs="Arial" w:hint="eastAsia"/>
          <w:kern w:val="0"/>
          <w:sz w:val="24"/>
        </w:rPr>
        <w:t xml:space="preserve">  校研究生奖学金评审委员会根据当年研究生奖学金的总体情况确定名额分配方案，</w:t>
      </w:r>
      <w:r>
        <w:rPr>
          <w:rFonts w:asciiTheme="minorEastAsia" w:eastAsiaTheme="minorEastAsia" w:hAnsiTheme="minorEastAsia" w:hint="eastAsia"/>
          <w:bCs/>
          <w:sz w:val="24"/>
        </w:rPr>
        <w:t>秘书处根据分配方案将名额具体分配到各院（系）。</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第十九条</w:t>
      </w:r>
      <w:r>
        <w:rPr>
          <w:rFonts w:asciiTheme="minorEastAsia" w:eastAsiaTheme="minorEastAsia" w:hAnsiTheme="minorEastAsia" w:cs="Arial" w:hint="eastAsia"/>
          <w:kern w:val="0"/>
          <w:sz w:val="24"/>
        </w:rPr>
        <w:t xml:space="preserve">  符合规定条件且有意愿申请研究生奖学金者，填写“同济大学研究生评奖评优登记表”（部分奖学金另需填写专门的申请表格）并按要求提供相关材料，向所在院（系）提出申请。</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第二十条</w:t>
      </w:r>
      <w:r>
        <w:rPr>
          <w:rFonts w:asciiTheme="minorEastAsia" w:eastAsiaTheme="minorEastAsia" w:hAnsiTheme="minorEastAsia" w:cs="Arial" w:hint="eastAsia"/>
          <w:kern w:val="0"/>
          <w:sz w:val="24"/>
        </w:rPr>
        <w:t xml:space="preserve">  研究生奖学金基本评审程序为：</w:t>
      </w:r>
    </w:p>
    <w:p w:rsidR="006C4847" w:rsidRDefault="006C4847" w:rsidP="006C4847">
      <w:pPr>
        <w:spacing w:line="360" w:lineRule="auto"/>
        <w:ind w:firstLineChars="200" w:firstLine="48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1.院（系）根据相应的评审实施细则对申请者进行初审并综合排序，确定研</w:t>
      </w:r>
      <w:r>
        <w:rPr>
          <w:rFonts w:asciiTheme="minorEastAsia" w:eastAsiaTheme="minorEastAsia" w:hAnsiTheme="minorEastAsia" w:cs="Arial" w:hint="eastAsia"/>
          <w:kern w:val="0"/>
          <w:sz w:val="24"/>
        </w:rPr>
        <w:lastRenderedPageBreak/>
        <w:t>究生奖学金初步名单；</w:t>
      </w:r>
    </w:p>
    <w:p w:rsidR="006C4847" w:rsidRDefault="006C4847" w:rsidP="006C4847">
      <w:pPr>
        <w:spacing w:line="360" w:lineRule="auto"/>
        <w:ind w:firstLineChars="200" w:firstLine="48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2.院（系）公示，公示内容</w:t>
      </w:r>
      <w:proofErr w:type="gramStart"/>
      <w:r>
        <w:rPr>
          <w:rFonts w:asciiTheme="minorEastAsia" w:eastAsiaTheme="minorEastAsia" w:hAnsiTheme="minorEastAsia" w:cs="Arial" w:hint="eastAsia"/>
          <w:kern w:val="0"/>
          <w:sz w:val="24"/>
        </w:rPr>
        <w:t>须包括</w:t>
      </w:r>
      <w:proofErr w:type="gramEnd"/>
      <w:r>
        <w:rPr>
          <w:rFonts w:asciiTheme="minorEastAsia" w:eastAsiaTheme="minorEastAsia" w:hAnsiTheme="minorEastAsia" w:cs="Arial" w:hint="eastAsia"/>
          <w:kern w:val="0"/>
          <w:sz w:val="24"/>
        </w:rPr>
        <w:t>综合排序、奖励名称、学号、姓名、评审支撑材料清单等；</w:t>
      </w:r>
    </w:p>
    <w:p w:rsidR="006C4847" w:rsidRDefault="006C4847" w:rsidP="006C4847">
      <w:pPr>
        <w:spacing w:line="360" w:lineRule="auto"/>
        <w:ind w:firstLineChars="200" w:firstLine="48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3.院（系）将公示后无异议的初步名单及相关材料报秘书处（部分奖学金报研究生院基金办）；</w:t>
      </w:r>
    </w:p>
    <w:p w:rsidR="006C4847" w:rsidRDefault="006C4847" w:rsidP="006C4847">
      <w:pPr>
        <w:spacing w:line="360" w:lineRule="auto"/>
        <w:ind w:firstLineChars="200" w:firstLine="48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4.秘书处汇总各院（系）获奖名单、相关材料和研究生院基金办的审核结果；</w:t>
      </w:r>
    </w:p>
    <w:p w:rsidR="006C4847" w:rsidRDefault="006C4847" w:rsidP="006C4847">
      <w:pPr>
        <w:spacing w:line="360" w:lineRule="auto"/>
        <w:ind w:firstLineChars="200" w:firstLine="48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5.校研究生国家奖学金评审领导小组审定研究生国家奖学金名单；</w:t>
      </w:r>
    </w:p>
    <w:p w:rsidR="006C4847" w:rsidRDefault="006C4847" w:rsidP="006C4847">
      <w:pPr>
        <w:spacing w:line="360" w:lineRule="auto"/>
        <w:ind w:firstLineChars="200" w:firstLine="48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6.校研究生奖学金评审委员会审定校级奖学金获奖名单；</w:t>
      </w:r>
    </w:p>
    <w:p w:rsidR="006C4847" w:rsidRDefault="006C4847" w:rsidP="006C4847">
      <w:pPr>
        <w:spacing w:line="360" w:lineRule="auto"/>
        <w:ind w:firstLineChars="200" w:firstLine="48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7.全校公示；</w:t>
      </w:r>
    </w:p>
    <w:p w:rsidR="006C4847" w:rsidRDefault="006C4847" w:rsidP="006C4847">
      <w:pPr>
        <w:spacing w:line="360" w:lineRule="auto"/>
        <w:ind w:firstLineChars="200" w:firstLine="480"/>
        <w:rPr>
          <w:rFonts w:asciiTheme="minorEastAsia" w:eastAsiaTheme="minorEastAsia" w:hAnsiTheme="minorEastAsia" w:cs="Arial"/>
          <w:kern w:val="0"/>
          <w:sz w:val="24"/>
        </w:rPr>
      </w:pPr>
      <w:r>
        <w:rPr>
          <w:rFonts w:asciiTheme="minorEastAsia" w:eastAsiaTheme="minorEastAsia" w:hAnsiTheme="minorEastAsia" w:cs="Arial" w:hint="eastAsia"/>
          <w:kern w:val="0"/>
          <w:sz w:val="24"/>
        </w:rPr>
        <w:t>8.颁发证书及奖金。</w:t>
      </w:r>
    </w:p>
    <w:p w:rsidR="006C4847" w:rsidRDefault="006C4847" w:rsidP="006C4847">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第七章  异议裁决</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第二十一条</w:t>
      </w:r>
      <w:r>
        <w:rPr>
          <w:rFonts w:asciiTheme="minorEastAsia" w:eastAsiaTheme="minorEastAsia" w:hAnsiTheme="minorEastAsia" w:cs="Arial" w:hint="eastAsia"/>
          <w:kern w:val="0"/>
          <w:sz w:val="24"/>
        </w:rPr>
        <w:t xml:space="preserve">  对评审结果有异议者，可在院（系）公示阶段向所在院（系）评审委员会提出申诉，院（系）评审委员会应及时研究并予以答复。</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第二十二条</w:t>
      </w:r>
      <w:r>
        <w:rPr>
          <w:rFonts w:asciiTheme="minorEastAsia" w:eastAsiaTheme="minorEastAsia" w:hAnsiTheme="minorEastAsia" w:cs="Arial" w:hint="eastAsia"/>
          <w:kern w:val="0"/>
          <w:sz w:val="24"/>
        </w:rPr>
        <w:t xml:space="preserve">  如对院（系）评审委员会</w:t>
      </w:r>
      <w:proofErr w:type="gramStart"/>
      <w:r>
        <w:rPr>
          <w:rFonts w:asciiTheme="minorEastAsia" w:eastAsiaTheme="minorEastAsia" w:hAnsiTheme="minorEastAsia" w:cs="Arial" w:hint="eastAsia"/>
          <w:kern w:val="0"/>
          <w:sz w:val="24"/>
        </w:rPr>
        <w:t>作出</w:t>
      </w:r>
      <w:proofErr w:type="gramEnd"/>
      <w:r>
        <w:rPr>
          <w:rFonts w:asciiTheme="minorEastAsia" w:eastAsiaTheme="minorEastAsia" w:hAnsiTheme="minorEastAsia" w:cs="Arial" w:hint="eastAsia"/>
          <w:kern w:val="0"/>
          <w:sz w:val="24"/>
        </w:rPr>
        <w:t>的答复仍存在异议，可在学校公示阶段向校研究生国家奖学金评审领导小组或校研究生奖学金评审委员会提请裁决。</w:t>
      </w:r>
    </w:p>
    <w:p w:rsidR="006C4847" w:rsidRDefault="006C4847" w:rsidP="006C4847">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第八章  奖金发放与监督</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 xml:space="preserve">第二十三条 </w:t>
      </w:r>
      <w:r>
        <w:rPr>
          <w:rFonts w:asciiTheme="minorEastAsia" w:eastAsiaTheme="minorEastAsia" w:hAnsiTheme="minorEastAsia" w:cs="Arial" w:hint="eastAsia"/>
          <w:kern w:val="0"/>
          <w:sz w:val="24"/>
        </w:rPr>
        <w:t xml:space="preserve"> 研究生院、研究生工作部将最终获奖名单提交学校财务处（社会捐赠奖学金获奖名单提交学校教育发展基金会，再由其提交学校财务处），学校财务处将奖金一次性划入获奖学生银行账户。</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第二十四条</w:t>
      </w:r>
      <w:r>
        <w:rPr>
          <w:rFonts w:asciiTheme="minorEastAsia" w:eastAsiaTheme="minorEastAsia" w:hAnsiTheme="minorEastAsia" w:cs="Arial" w:hint="eastAsia"/>
          <w:kern w:val="0"/>
          <w:sz w:val="24"/>
        </w:rPr>
        <w:t xml:space="preserve">  对在研究生奖学金评审过程中提供虚假材料的研究生，一经查实，除取消荣誉并追回所得外，将依据校纪校规给予严肃处理。</w:t>
      </w:r>
    </w:p>
    <w:p w:rsidR="006C4847" w:rsidRDefault="006C4847" w:rsidP="006C4847">
      <w:pPr>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第九章  附  则</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第二十五条</w:t>
      </w:r>
      <w:r>
        <w:rPr>
          <w:rFonts w:asciiTheme="minorEastAsia" w:eastAsiaTheme="minorEastAsia" w:hAnsiTheme="minorEastAsia" w:cs="Arial" w:hint="eastAsia"/>
          <w:kern w:val="0"/>
          <w:sz w:val="24"/>
        </w:rPr>
        <w:t xml:space="preserve">  各院（系）应根据本办法及所在单位具体情况，制订本单位的研究生奖学金评审实施细则，并报秘书处备案。</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第二十六条</w:t>
      </w:r>
      <w:r>
        <w:rPr>
          <w:rFonts w:asciiTheme="minorEastAsia" w:eastAsiaTheme="minorEastAsia" w:hAnsiTheme="minorEastAsia" w:cs="Arial" w:hint="eastAsia"/>
          <w:kern w:val="0"/>
          <w:sz w:val="24"/>
        </w:rPr>
        <w:t xml:space="preserve">  院（系）研究生奖学金的评审表决结果，由所在院（系）负责保存备查；学校研究生国家奖学金评审领导小组和研究生奖学金评审委员会的评审表决结果，由研究生院、研究生工作部负责保存备查。保存期限自表决之日起</w:t>
      </w:r>
      <w:r>
        <w:rPr>
          <w:rFonts w:asciiTheme="minorEastAsia" w:eastAsiaTheme="minorEastAsia" w:hAnsiTheme="minorEastAsia" w:cs="Arial" w:hint="eastAsia"/>
          <w:kern w:val="0"/>
          <w:sz w:val="24"/>
        </w:rPr>
        <w:lastRenderedPageBreak/>
        <w:t>计算，均为5年。</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第二十七条</w:t>
      </w:r>
      <w:r>
        <w:rPr>
          <w:rFonts w:asciiTheme="minorEastAsia" w:eastAsiaTheme="minorEastAsia" w:hAnsiTheme="minorEastAsia" w:cs="Arial" w:hint="eastAsia"/>
          <w:kern w:val="0"/>
          <w:sz w:val="24"/>
        </w:rPr>
        <w:t xml:space="preserve">  学校积极推进校、院两级奖学金体系建设，鼓励各院（系）自设院（系）级奖学金。</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第二十八条</w:t>
      </w:r>
      <w:r>
        <w:rPr>
          <w:rFonts w:asciiTheme="minorEastAsia" w:eastAsiaTheme="minorEastAsia" w:hAnsiTheme="minorEastAsia" w:cs="Arial" w:hint="eastAsia"/>
          <w:kern w:val="0"/>
          <w:sz w:val="24"/>
        </w:rPr>
        <w:t xml:space="preserve">  本办法自公布之日起施行（其中第十六条*标注的规定从2016年起执行）。2014年颁布的《同济大学研究生奖学金管理办法》（同</w:t>
      </w:r>
      <w:proofErr w:type="gramStart"/>
      <w:r>
        <w:rPr>
          <w:rFonts w:asciiTheme="minorEastAsia" w:eastAsiaTheme="minorEastAsia" w:hAnsiTheme="minorEastAsia" w:cs="Arial" w:hint="eastAsia"/>
          <w:kern w:val="0"/>
          <w:sz w:val="24"/>
        </w:rPr>
        <w:t>研</w:t>
      </w:r>
      <w:proofErr w:type="gramEnd"/>
      <w:r>
        <w:rPr>
          <w:rFonts w:asciiTheme="minorEastAsia" w:eastAsiaTheme="minorEastAsia" w:hAnsiTheme="minorEastAsia" w:hint="eastAsia"/>
          <w:sz w:val="24"/>
        </w:rPr>
        <w:t>〔2014〕</w:t>
      </w:r>
      <w:r>
        <w:rPr>
          <w:rFonts w:asciiTheme="minorEastAsia" w:eastAsiaTheme="minorEastAsia" w:hAnsiTheme="minorEastAsia" w:cs="Arial" w:hint="eastAsia"/>
          <w:kern w:val="0"/>
          <w:sz w:val="24"/>
        </w:rPr>
        <w:t>31号）除第十七条相应规定执行至2015年外，其他条款同时废止。</w:t>
      </w:r>
    </w:p>
    <w:p w:rsidR="006C4847" w:rsidRDefault="006C4847" w:rsidP="006C4847">
      <w:pPr>
        <w:spacing w:line="360" w:lineRule="auto"/>
        <w:ind w:firstLineChars="200" w:firstLine="482"/>
        <w:rPr>
          <w:rFonts w:asciiTheme="minorEastAsia" w:eastAsiaTheme="minorEastAsia" w:hAnsiTheme="minorEastAsia" w:cs="Arial"/>
          <w:kern w:val="0"/>
          <w:sz w:val="24"/>
        </w:rPr>
      </w:pPr>
      <w:r>
        <w:rPr>
          <w:rFonts w:ascii="黑体" w:eastAsia="黑体" w:hAnsi="黑体" w:hint="eastAsia"/>
          <w:b/>
          <w:bCs/>
          <w:sz w:val="24"/>
        </w:rPr>
        <w:t>第二十九条</w:t>
      </w:r>
      <w:r>
        <w:rPr>
          <w:rFonts w:asciiTheme="minorEastAsia" w:eastAsiaTheme="minorEastAsia" w:hAnsiTheme="minorEastAsia" w:cs="Arial" w:hint="eastAsia"/>
          <w:kern w:val="0"/>
          <w:sz w:val="24"/>
        </w:rPr>
        <w:t xml:space="preserve">  本办法由研究生院、研究生工作部负责解释。</w:t>
      </w:r>
    </w:p>
    <w:p w:rsidR="006C4847" w:rsidRDefault="006C4847" w:rsidP="006C4847">
      <w:pPr>
        <w:spacing w:line="360" w:lineRule="auto"/>
        <w:ind w:firstLineChars="200" w:firstLine="480"/>
        <w:rPr>
          <w:rFonts w:asciiTheme="minorEastAsia" w:eastAsiaTheme="minorEastAsia" w:hAnsiTheme="minorEastAsia" w:cs="Arial"/>
          <w:kern w:val="0"/>
          <w:sz w:val="24"/>
        </w:rPr>
      </w:pPr>
    </w:p>
    <w:p w:rsidR="006C4847" w:rsidRDefault="006C4847" w:rsidP="006C4847">
      <w:pPr>
        <w:widowControl/>
        <w:spacing w:line="360" w:lineRule="auto"/>
        <w:ind w:firstLineChars="200" w:firstLine="482"/>
        <w:rPr>
          <w:rFonts w:ascii="黑体" w:eastAsia="黑体" w:hAnsi="宋体" w:cs="Arial"/>
          <w:bCs/>
          <w:color w:val="000000"/>
          <w:kern w:val="0"/>
          <w:sz w:val="32"/>
          <w:szCs w:val="32"/>
        </w:rPr>
      </w:pPr>
      <w:r>
        <w:rPr>
          <w:rFonts w:ascii="黑体" w:eastAsia="黑体" w:hAnsi="黑体" w:hint="eastAsia"/>
          <w:b/>
          <w:bCs/>
          <w:color w:val="000000"/>
          <w:sz w:val="24"/>
        </w:rPr>
        <w:t>附件：研究生分类标准附件</w:t>
      </w:r>
    </w:p>
    <w:p w:rsidR="006C4847" w:rsidRDefault="006C4847" w:rsidP="006C4847">
      <w:pPr>
        <w:widowControl/>
        <w:spacing w:line="360" w:lineRule="auto"/>
        <w:ind w:firstLineChars="200" w:firstLine="562"/>
        <w:jc w:val="center"/>
        <w:rPr>
          <w:rFonts w:asciiTheme="minorEastAsia" w:eastAsiaTheme="minorEastAsia" w:hAnsiTheme="minorEastAsia" w:cs="Arial"/>
          <w:b/>
          <w:bCs/>
          <w:color w:val="000000"/>
          <w:kern w:val="0"/>
          <w:sz w:val="28"/>
          <w:szCs w:val="28"/>
        </w:rPr>
      </w:pPr>
      <w:r>
        <w:rPr>
          <w:rFonts w:asciiTheme="minorEastAsia" w:eastAsiaTheme="minorEastAsia" w:hAnsiTheme="minorEastAsia" w:cs="Arial" w:hint="eastAsia"/>
          <w:b/>
          <w:bCs/>
          <w:color w:val="000000"/>
          <w:kern w:val="0"/>
          <w:sz w:val="28"/>
          <w:szCs w:val="28"/>
        </w:rPr>
        <w:t>研究生分类标准</w:t>
      </w:r>
    </w:p>
    <w:p w:rsidR="006C4847" w:rsidRDefault="006C4847" w:rsidP="006C4847">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根据学位类型、学历层次和录取类别，研究生可分为8种类型（不含港澳台研究生和外国来华留学研究生），具体见下表：</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07"/>
        <w:gridCol w:w="1493"/>
        <w:gridCol w:w="1665"/>
        <w:gridCol w:w="1405"/>
        <w:gridCol w:w="1626"/>
      </w:tblGrid>
      <w:tr w:rsidR="006C4847" w:rsidTr="003A02CE">
        <w:trPr>
          <w:jc w:val="center"/>
        </w:trPr>
        <w:tc>
          <w:tcPr>
            <w:tcW w:w="2107" w:type="dxa"/>
            <w:tcBorders>
              <w:top w:val="single" w:sz="4" w:space="0" w:color="auto"/>
              <w:left w:val="single" w:sz="4" w:space="0" w:color="auto"/>
              <w:bottom w:val="nil"/>
              <w:right w:val="single" w:sz="4" w:space="0" w:color="auto"/>
              <w:tl2br w:val="single" w:sz="4" w:space="0" w:color="auto"/>
            </w:tcBorders>
          </w:tcPr>
          <w:p w:rsidR="006C4847" w:rsidRDefault="006C4847" w:rsidP="003A02CE">
            <w:pPr>
              <w:ind w:firstLineChars="400" w:firstLine="960"/>
              <w:rPr>
                <w:rFonts w:ascii="仿宋_GB2312" w:eastAsia="仿宋_GB2312" w:hAnsi="宋体"/>
                <w:sz w:val="24"/>
              </w:rPr>
            </w:pPr>
            <w:r>
              <w:rPr>
                <w:rFonts w:ascii="仿宋_GB2312" w:eastAsia="仿宋_GB2312" w:hAnsi="宋体" w:hint="eastAsia"/>
                <w:sz w:val="24"/>
              </w:rPr>
              <w:t>学历层次</w:t>
            </w:r>
          </w:p>
          <w:p w:rsidR="006C4847" w:rsidRDefault="006C4847" w:rsidP="003A02CE">
            <w:pPr>
              <w:ind w:firstLineChars="100" w:firstLine="240"/>
              <w:rPr>
                <w:rFonts w:ascii="仿宋_GB2312" w:eastAsia="仿宋_GB2312" w:hAnsi="宋体"/>
                <w:sz w:val="24"/>
              </w:rPr>
            </w:pPr>
            <w:r>
              <w:rPr>
                <w:rFonts w:ascii="仿宋_GB2312" w:eastAsia="仿宋_GB2312" w:hAnsi="宋体" w:hint="eastAsia"/>
                <w:sz w:val="24"/>
              </w:rPr>
              <w:t>学位类型</w:t>
            </w:r>
          </w:p>
        </w:tc>
        <w:tc>
          <w:tcPr>
            <w:tcW w:w="3158" w:type="dxa"/>
            <w:gridSpan w:val="2"/>
            <w:tcBorders>
              <w:top w:val="single" w:sz="4" w:space="0" w:color="auto"/>
              <w:left w:val="single" w:sz="4" w:space="0" w:color="auto"/>
              <w:bottom w:val="single" w:sz="4" w:space="0" w:color="auto"/>
              <w:right w:val="single" w:sz="4" w:space="0" w:color="auto"/>
            </w:tcBorders>
            <w:vAlign w:val="center"/>
          </w:tcPr>
          <w:p w:rsidR="006C4847" w:rsidRDefault="006C4847" w:rsidP="003A02CE">
            <w:pPr>
              <w:jc w:val="center"/>
              <w:rPr>
                <w:rFonts w:ascii="仿宋_GB2312" w:eastAsia="仿宋_GB2312" w:hAnsi="宋体"/>
                <w:b/>
                <w:sz w:val="24"/>
              </w:rPr>
            </w:pPr>
            <w:r>
              <w:rPr>
                <w:rFonts w:ascii="仿宋_GB2312" w:eastAsia="仿宋_GB2312" w:hAnsi="宋体" w:hint="eastAsia"/>
                <w:b/>
                <w:sz w:val="24"/>
              </w:rPr>
              <w:t>硕士研究生</w:t>
            </w:r>
          </w:p>
        </w:tc>
        <w:tc>
          <w:tcPr>
            <w:tcW w:w="3031" w:type="dxa"/>
            <w:gridSpan w:val="2"/>
            <w:tcBorders>
              <w:top w:val="single" w:sz="4" w:space="0" w:color="auto"/>
              <w:left w:val="single" w:sz="4" w:space="0" w:color="auto"/>
              <w:bottom w:val="single" w:sz="4" w:space="0" w:color="auto"/>
              <w:right w:val="single" w:sz="4" w:space="0" w:color="auto"/>
            </w:tcBorders>
            <w:vAlign w:val="center"/>
          </w:tcPr>
          <w:p w:rsidR="006C4847" w:rsidRDefault="006C4847" w:rsidP="003A02CE">
            <w:pPr>
              <w:jc w:val="center"/>
              <w:rPr>
                <w:rFonts w:ascii="仿宋_GB2312" w:eastAsia="仿宋_GB2312" w:hAnsi="宋体"/>
                <w:b/>
                <w:sz w:val="24"/>
              </w:rPr>
            </w:pPr>
            <w:r>
              <w:rPr>
                <w:rFonts w:ascii="仿宋_GB2312" w:eastAsia="仿宋_GB2312" w:hAnsi="宋体" w:hint="eastAsia"/>
                <w:b/>
                <w:sz w:val="24"/>
              </w:rPr>
              <w:t>博士研究生</w:t>
            </w:r>
          </w:p>
        </w:tc>
      </w:tr>
      <w:tr w:rsidR="006C4847" w:rsidTr="003A02CE">
        <w:trPr>
          <w:trHeight w:val="567"/>
          <w:jc w:val="center"/>
        </w:trPr>
        <w:tc>
          <w:tcPr>
            <w:tcW w:w="2107" w:type="dxa"/>
            <w:tcBorders>
              <w:top w:val="nil"/>
              <w:left w:val="single" w:sz="4" w:space="0" w:color="auto"/>
              <w:bottom w:val="single" w:sz="4" w:space="0" w:color="auto"/>
              <w:right w:val="single" w:sz="4" w:space="0" w:color="auto"/>
              <w:tl2br w:val="single" w:sz="4" w:space="0" w:color="auto"/>
            </w:tcBorders>
          </w:tcPr>
          <w:p w:rsidR="006C4847" w:rsidRDefault="006C4847" w:rsidP="003A02CE">
            <w:pPr>
              <w:spacing w:line="240" w:lineRule="exact"/>
              <w:rPr>
                <w:rFonts w:ascii="仿宋_GB2312" w:eastAsia="仿宋_GB2312" w:hAnsi="宋体"/>
                <w:sz w:val="24"/>
              </w:rPr>
            </w:pPr>
          </w:p>
          <w:p w:rsidR="006C4847" w:rsidRDefault="006C4847" w:rsidP="003A02CE">
            <w:pPr>
              <w:rPr>
                <w:rFonts w:ascii="仿宋_GB2312" w:eastAsia="仿宋_GB2312" w:hAnsi="宋体"/>
                <w:sz w:val="24"/>
              </w:rPr>
            </w:pPr>
            <w:r>
              <w:rPr>
                <w:rFonts w:ascii="仿宋_GB2312" w:eastAsia="仿宋_GB2312" w:hAnsi="宋体" w:hint="eastAsia"/>
                <w:sz w:val="24"/>
              </w:rPr>
              <w:t>录取类别</w:t>
            </w:r>
          </w:p>
        </w:tc>
        <w:tc>
          <w:tcPr>
            <w:tcW w:w="1493" w:type="dxa"/>
            <w:tcBorders>
              <w:top w:val="single" w:sz="4" w:space="0" w:color="auto"/>
              <w:left w:val="single" w:sz="4" w:space="0" w:color="auto"/>
              <w:bottom w:val="single" w:sz="4" w:space="0" w:color="auto"/>
              <w:right w:val="single" w:sz="4" w:space="0" w:color="auto"/>
            </w:tcBorders>
            <w:vAlign w:val="center"/>
          </w:tcPr>
          <w:p w:rsidR="006C4847" w:rsidRDefault="006C4847" w:rsidP="003A02CE">
            <w:pPr>
              <w:jc w:val="center"/>
              <w:rPr>
                <w:rFonts w:ascii="仿宋_GB2312" w:eastAsia="仿宋_GB2312" w:hAnsi="宋体"/>
                <w:b/>
                <w:sz w:val="24"/>
              </w:rPr>
            </w:pPr>
            <w:r>
              <w:rPr>
                <w:rFonts w:ascii="仿宋_GB2312" w:eastAsia="仿宋_GB2312" w:hAnsi="宋体" w:hint="eastAsia"/>
                <w:b/>
                <w:sz w:val="24"/>
              </w:rPr>
              <w:t>学术型</w:t>
            </w:r>
          </w:p>
        </w:tc>
        <w:tc>
          <w:tcPr>
            <w:tcW w:w="1665" w:type="dxa"/>
            <w:tcBorders>
              <w:top w:val="single" w:sz="4" w:space="0" w:color="auto"/>
              <w:left w:val="single" w:sz="4" w:space="0" w:color="auto"/>
              <w:bottom w:val="single" w:sz="4" w:space="0" w:color="auto"/>
              <w:right w:val="single" w:sz="4" w:space="0" w:color="auto"/>
            </w:tcBorders>
            <w:vAlign w:val="center"/>
          </w:tcPr>
          <w:p w:rsidR="006C4847" w:rsidRDefault="006C4847" w:rsidP="003A02CE">
            <w:pPr>
              <w:jc w:val="center"/>
              <w:rPr>
                <w:rFonts w:ascii="仿宋_GB2312" w:eastAsia="仿宋_GB2312" w:hAnsi="宋体"/>
                <w:b/>
                <w:sz w:val="24"/>
              </w:rPr>
            </w:pPr>
            <w:r>
              <w:rPr>
                <w:rFonts w:ascii="仿宋_GB2312" w:eastAsia="仿宋_GB2312" w:hAnsi="宋体" w:hint="eastAsia"/>
                <w:b/>
                <w:sz w:val="24"/>
              </w:rPr>
              <w:t>专业学位</w:t>
            </w:r>
          </w:p>
        </w:tc>
        <w:tc>
          <w:tcPr>
            <w:tcW w:w="1405" w:type="dxa"/>
            <w:tcBorders>
              <w:top w:val="single" w:sz="4" w:space="0" w:color="auto"/>
              <w:left w:val="single" w:sz="4" w:space="0" w:color="auto"/>
              <w:bottom w:val="single" w:sz="4" w:space="0" w:color="auto"/>
              <w:right w:val="single" w:sz="4" w:space="0" w:color="auto"/>
            </w:tcBorders>
            <w:vAlign w:val="center"/>
          </w:tcPr>
          <w:p w:rsidR="006C4847" w:rsidRDefault="006C4847" w:rsidP="003A02CE">
            <w:pPr>
              <w:jc w:val="center"/>
              <w:rPr>
                <w:rFonts w:ascii="仿宋_GB2312" w:eastAsia="仿宋_GB2312" w:hAnsi="宋体"/>
                <w:b/>
                <w:sz w:val="24"/>
              </w:rPr>
            </w:pPr>
            <w:r>
              <w:rPr>
                <w:rFonts w:ascii="仿宋_GB2312" w:eastAsia="仿宋_GB2312" w:hAnsi="宋体" w:hint="eastAsia"/>
                <w:b/>
                <w:sz w:val="24"/>
              </w:rPr>
              <w:t>学术型</w:t>
            </w:r>
          </w:p>
        </w:tc>
        <w:tc>
          <w:tcPr>
            <w:tcW w:w="1626" w:type="dxa"/>
            <w:tcBorders>
              <w:top w:val="single" w:sz="4" w:space="0" w:color="auto"/>
              <w:left w:val="single" w:sz="4" w:space="0" w:color="auto"/>
              <w:bottom w:val="single" w:sz="4" w:space="0" w:color="auto"/>
              <w:right w:val="single" w:sz="4" w:space="0" w:color="auto"/>
            </w:tcBorders>
            <w:vAlign w:val="center"/>
          </w:tcPr>
          <w:p w:rsidR="006C4847" w:rsidRDefault="006C4847" w:rsidP="003A02CE">
            <w:pPr>
              <w:jc w:val="center"/>
              <w:rPr>
                <w:rFonts w:ascii="仿宋_GB2312" w:eastAsia="仿宋_GB2312" w:hAnsi="宋体"/>
                <w:b/>
                <w:sz w:val="24"/>
              </w:rPr>
            </w:pPr>
            <w:r>
              <w:rPr>
                <w:rFonts w:ascii="仿宋_GB2312" w:eastAsia="仿宋_GB2312" w:hAnsi="宋体" w:hint="eastAsia"/>
                <w:b/>
                <w:sz w:val="24"/>
              </w:rPr>
              <w:t>专业学位</w:t>
            </w:r>
          </w:p>
        </w:tc>
      </w:tr>
      <w:tr w:rsidR="006C4847" w:rsidTr="003A02CE">
        <w:trPr>
          <w:trHeight w:val="851"/>
          <w:jc w:val="center"/>
        </w:trPr>
        <w:tc>
          <w:tcPr>
            <w:tcW w:w="2107" w:type="dxa"/>
            <w:tcBorders>
              <w:top w:val="single" w:sz="4" w:space="0" w:color="auto"/>
              <w:left w:val="single" w:sz="4" w:space="0" w:color="auto"/>
              <w:bottom w:val="single" w:sz="4" w:space="0" w:color="auto"/>
              <w:right w:val="single" w:sz="4" w:space="0" w:color="auto"/>
            </w:tcBorders>
            <w:vAlign w:val="center"/>
          </w:tcPr>
          <w:p w:rsidR="006C4847" w:rsidRDefault="006C4847" w:rsidP="003A02CE">
            <w:pPr>
              <w:adjustRightInd w:val="0"/>
              <w:snapToGrid w:val="0"/>
              <w:jc w:val="center"/>
              <w:rPr>
                <w:rFonts w:ascii="仿宋_GB2312" w:eastAsia="仿宋_GB2312" w:hAnsi="宋体"/>
                <w:b/>
                <w:sz w:val="24"/>
              </w:rPr>
            </w:pPr>
            <w:r>
              <w:rPr>
                <w:rFonts w:ascii="仿宋_GB2312" w:eastAsia="仿宋_GB2312" w:hAnsi="宋体" w:hint="eastAsia"/>
                <w:b/>
                <w:sz w:val="24"/>
              </w:rPr>
              <w:t>非定向就业</w:t>
            </w:r>
          </w:p>
          <w:p w:rsidR="006C4847" w:rsidRDefault="006C4847" w:rsidP="003A02CE">
            <w:pPr>
              <w:adjustRightInd w:val="0"/>
              <w:snapToGrid w:val="0"/>
              <w:jc w:val="center"/>
              <w:rPr>
                <w:rFonts w:ascii="仿宋_GB2312" w:eastAsia="仿宋_GB2312" w:hAnsi="宋体"/>
                <w:sz w:val="24"/>
              </w:rPr>
            </w:pPr>
            <w:r>
              <w:rPr>
                <w:rFonts w:ascii="仿宋_GB2312" w:eastAsia="仿宋_GB2312" w:hAnsi="宋体" w:hint="eastAsia"/>
                <w:sz w:val="24"/>
              </w:rPr>
              <w:t>(以下简称为非定向)</w:t>
            </w:r>
          </w:p>
        </w:tc>
        <w:tc>
          <w:tcPr>
            <w:tcW w:w="1493" w:type="dxa"/>
            <w:tcBorders>
              <w:top w:val="single" w:sz="4" w:space="0" w:color="auto"/>
              <w:left w:val="single" w:sz="4" w:space="0" w:color="auto"/>
              <w:bottom w:val="single" w:sz="4" w:space="0" w:color="auto"/>
              <w:right w:val="single" w:sz="4" w:space="0" w:color="auto"/>
            </w:tcBorders>
            <w:vAlign w:val="center"/>
          </w:tcPr>
          <w:p w:rsidR="006C4847" w:rsidRDefault="006C4847" w:rsidP="003A02CE">
            <w:pPr>
              <w:jc w:val="center"/>
              <w:rPr>
                <w:rFonts w:ascii="仿宋_GB2312" w:eastAsia="仿宋_GB2312" w:hAnsi="宋体"/>
                <w:sz w:val="24"/>
              </w:rPr>
            </w:pPr>
            <w:r>
              <w:rPr>
                <w:rFonts w:ascii="仿宋_GB2312" w:eastAsia="仿宋_GB2312" w:hAnsi="宋体" w:hint="eastAsia"/>
                <w:sz w:val="24"/>
              </w:rPr>
              <w:t>非定向学术型硕士研究生</w:t>
            </w:r>
          </w:p>
        </w:tc>
        <w:tc>
          <w:tcPr>
            <w:tcW w:w="1665" w:type="dxa"/>
            <w:tcBorders>
              <w:top w:val="single" w:sz="4" w:space="0" w:color="auto"/>
              <w:left w:val="single" w:sz="4" w:space="0" w:color="auto"/>
              <w:bottom w:val="single" w:sz="4" w:space="0" w:color="auto"/>
              <w:right w:val="single" w:sz="4" w:space="0" w:color="auto"/>
            </w:tcBorders>
            <w:vAlign w:val="center"/>
          </w:tcPr>
          <w:p w:rsidR="006C4847" w:rsidRDefault="006C4847" w:rsidP="003A02CE">
            <w:pPr>
              <w:jc w:val="center"/>
              <w:rPr>
                <w:rFonts w:ascii="仿宋_GB2312" w:eastAsia="仿宋_GB2312" w:hAnsi="宋体"/>
                <w:sz w:val="24"/>
              </w:rPr>
            </w:pPr>
            <w:r>
              <w:rPr>
                <w:rFonts w:ascii="仿宋_GB2312" w:eastAsia="仿宋_GB2312" w:hAnsi="宋体" w:hint="eastAsia"/>
                <w:sz w:val="24"/>
              </w:rPr>
              <w:t>非定向专业学位硕士研究生</w:t>
            </w:r>
          </w:p>
        </w:tc>
        <w:tc>
          <w:tcPr>
            <w:tcW w:w="1405" w:type="dxa"/>
            <w:tcBorders>
              <w:top w:val="single" w:sz="4" w:space="0" w:color="auto"/>
              <w:left w:val="single" w:sz="4" w:space="0" w:color="auto"/>
              <w:bottom w:val="single" w:sz="4" w:space="0" w:color="auto"/>
              <w:right w:val="single" w:sz="4" w:space="0" w:color="auto"/>
            </w:tcBorders>
            <w:vAlign w:val="center"/>
          </w:tcPr>
          <w:p w:rsidR="006C4847" w:rsidRDefault="006C4847" w:rsidP="003A02CE">
            <w:pPr>
              <w:jc w:val="center"/>
              <w:rPr>
                <w:rFonts w:ascii="仿宋_GB2312" w:eastAsia="仿宋_GB2312" w:hAnsi="宋体"/>
                <w:sz w:val="24"/>
              </w:rPr>
            </w:pPr>
            <w:r>
              <w:rPr>
                <w:rFonts w:ascii="仿宋_GB2312" w:eastAsia="仿宋_GB2312" w:hAnsi="宋体" w:hint="eastAsia"/>
                <w:sz w:val="24"/>
              </w:rPr>
              <w:t>非定向学术型</w:t>
            </w:r>
          </w:p>
          <w:p w:rsidR="006C4847" w:rsidRDefault="006C4847" w:rsidP="003A02CE">
            <w:pPr>
              <w:jc w:val="center"/>
              <w:rPr>
                <w:rFonts w:ascii="仿宋_GB2312" w:eastAsia="仿宋_GB2312" w:hAnsi="宋体"/>
                <w:sz w:val="24"/>
              </w:rPr>
            </w:pPr>
            <w:r>
              <w:rPr>
                <w:rFonts w:ascii="仿宋_GB2312" w:eastAsia="仿宋_GB2312" w:hAnsi="宋体" w:hint="eastAsia"/>
                <w:sz w:val="24"/>
              </w:rPr>
              <w:t>博士研究生</w:t>
            </w:r>
          </w:p>
        </w:tc>
        <w:tc>
          <w:tcPr>
            <w:tcW w:w="1626" w:type="dxa"/>
            <w:tcBorders>
              <w:top w:val="single" w:sz="4" w:space="0" w:color="auto"/>
              <w:left w:val="single" w:sz="4" w:space="0" w:color="auto"/>
              <w:bottom w:val="single" w:sz="4" w:space="0" w:color="auto"/>
              <w:right w:val="single" w:sz="4" w:space="0" w:color="auto"/>
            </w:tcBorders>
            <w:vAlign w:val="center"/>
          </w:tcPr>
          <w:p w:rsidR="006C4847" w:rsidRDefault="006C4847" w:rsidP="003A02CE">
            <w:pPr>
              <w:jc w:val="center"/>
              <w:rPr>
                <w:rFonts w:ascii="仿宋_GB2312" w:eastAsia="仿宋_GB2312" w:hAnsi="宋体"/>
                <w:sz w:val="24"/>
              </w:rPr>
            </w:pPr>
            <w:r>
              <w:rPr>
                <w:rFonts w:ascii="仿宋_GB2312" w:eastAsia="仿宋_GB2312" w:hAnsi="宋体" w:hint="eastAsia"/>
                <w:sz w:val="24"/>
              </w:rPr>
              <w:t>非定向专业学位博士研究生</w:t>
            </w:r>
          </w:p>
        </w:tc>
      </w:tr>
      <w:tr w:rsidR="006C4847" w:rsidTr="003A02CE">
        <w:trPr>
          <w:trHeight w:val="851"/>
          <w:jc w:val="center"/>
        </w:trPr>
        <w:tc>
          <w:tcPr>
            <w:tcW w:w="2107" w:type="dxa"/>
            <w:tcBorders>
              <w:top w:val="single" w:sz="4" w:space="0" w:color="auto"/>
              <w:left w:val="single" w:sz="4" w:space="0" w:color="auto"/>
              <w:bottom w:val="single" w:sz="4" w:space="0" w:color="auto"/>
              <w:right w:val="single" w:sz="4" w:space="0" w:color="auto"/>
            </w:tcBorders>
            <w:vAlign w:val="center"/>
          </w:tcPr>
          <w:p w:rsidR="006C4847" w:rsidRDefault="006C4847" w:rsidP="003A02CE">
            <w:pPr>
              <w:adjustRightInd w:val="0"/>
              <w:snapToGrid w:val="0"/>
              <w:jc w:val="center"/>
              <w:rPr>
                <w:rFonts w:ascii="仿宋_GB2312" w:eastAsia="仿宋_GB2312" w:hAnsi="宋体"/>
                <w:b/>
                <w:sz w:val="24"/>
              </w:rPr>
            </w:pPr>
            <w:r>
              <w:rPr>
                <w:rFonts w:ascii="仿宋_GB2312" w:eastAsia="仿宋_GB2312" w:hAnsi="宋体" w:hint="eastAsia"/>
                <w:b/>
                <w:sz w:val="24"/>
              </w:rPr>
              <w:t>定向就业</w:t>
            </w:r>
          </w:p>
          <w:p w:rsidR="006C4847" w:rsidRDefault="006C4847" w:rsidP="003A02CE">
            <w:pPr>
              <w:adjustRightInd w:val="0"/>
              <w:snapToGrid w:val="0"/>
              <w:jc w:val="center"/>
              <w:rPr>
                <w:rFonts w:ascii="仿宋_GB2312" w:eastAsia="仿宋_GB2312" w:hAnsi="宋体"/>
                <w:sz w:val="24"/>
              </w:rPr>
            </w:pPr>
            <w:r>
              <w:rPr>
                <w:rFonts w:ascii="仿宋_GB2312" w:eastAsia="仿宋_GB2312" w:hAnsi="宋体" w:hint="eastAsia"/>
                <w:sz w:val="24"/>
              </w:rPr>
              <w:t>(以下简称为定向)</w:t>
            </w:r>
          </w:p>
        </w:tc>
        <w:tc>
          <w:tcPr>
            <w:tcW w:w="1493" w:type="dxa"/>
            <w:tcBorders>
              <w:top w:val="single" w:sz="4" w:space="0" w:color="auto"/>
              <w:left w:val="single" w:sz="4" w:space="0" w:color="auto"/>
              <w:bottom w:val="single" w:sz="4" w:space="0" w:color="auto"/>
              <w:right w:val="single" w:sz="4" w:space="0" w:color="auto"/>
            </w:tcBorders>
            <w:vAlign w:val="center"/>
          </w:tcPr>
          <w:p w:rsidR="006C4847" w:rsidRDefault="006C4847" w:rsidP="003A02CE">
            <w:pPr>
              <w:jc w:val="center"/>
              <w:rPr>
                <w:rFonts w:ascii="仿宋_GB2312" w:eastAsia="仿宋_GB2312" w:hAnsi="宋体"/>
                <w:sz w:val="24"/>
              </w:rPr>
            </w:pPr>
            <w:r>
              <w:rPr>
                <w:rFonts w:ascii="仿宋_GB2312" w:eastAsia="仿宋_GB2312" w:hAnsi="宋体" w:hint="eastAsia"/>
                <w:sz w:val="24"/>
              </w:rPr>
              <w:t>定向学术型</w:t>
            </w:r>
          </w:p>
          <w:p w:rsidR="006C4847" w:rsidRDefault="006C4847" w:rsidP="003A02CE">
            <w:pPr>
              <w:jc w:val="center"/>
              <w:rPr>
                <w:rFonts w:ascii="仿宋_GB2312" w:eastAsia="仿宋_GB2312" w:hAnsi="宋体"/>
                <w:sz w:val="24"/>
              </w:rPr>
            </w:pPr>
            <w:r>
              <w:rPr>
                <w:rFonts w:ascii="仿宋_GB2312" w:eastAsia="仿宋_GB2312" w:hAnsi="宋体" w:hint="eastAsia"/>
                <w:sz w:val="24"/>
              </w:rPr>
              <w:t>硕士研究生</w:t>
            </w:r>
          </w:p>
        </w:tc>
        <w:tc>
          <w:tcPr>
            <w:tcW w:w="1665" w:type="dxa"/>
            <w:tcBorders>
              <w:top w:val="single" w:sz="4" w:space="0" w:color="auto"/>
              <w:left w:val="single" w:sz="4" w:space="0" w:color="auto"/>
              <w:bottom w:val="single" w:sz="4" w:space="0" w:color="auto"/>
              <w:right w:val="single" w:sz="4" w:space="0" w:color="auto"/>
            </w:tcBorders>
            <w:vAlign w:val="center"/>
          </w:tcPr>
          <w:p w:rsidR="006C4847" w:rsidRDefault="006C4847" w:rsidP="003A02CE">
            <w:pPr>
              <w:jc w:val="center"/>
              <w:rPr>
                <w:rFonts w:ascii="仿宋_GB2312" w:eastAsia="仿宋_GB2312" w:hAnsi="宋体"/>
                <w:sz w:val="24"/>
              </w:rPr>
            </w:pPr>
            <w:r>
              <w:rPr>
                <w:rFonts w:ascii="仿宋_GB2312" w:eastAsia="仿宋_GB2312" w:hAnsi="宋体" w:hint="eastAsia"/>
                <w:sz w:val="24"/>
              </w:rPr>
              <w:t>定向专业学位</w:t>
            </w:r>
          </w:p>
          <w:p w:rsidR="006C4847" w:rsidRDefault="006C4847" w:rsidP="003A02CE">
            <w:pPr>
              <w:jc w:val="center"/>
              <w:rPr>
                <w:rFonts w:ascii="仿宋_GB2312" w:eastAsia="仿宋_GB2312" w:hAnsi="宋体"/>
                <w:sz w:val="24"/>
              </w:rPr>
            </w:pPr>
            <w:r>
              <w:rPr>
                <w:rFonts w:ascii="仿宋_GB2312" w:eastAsia="仿宋_GB2312" w:hAnsi="宋体" w:hint="eastAsia"/>
                <w:sz w:val="24"/>
              </w:rPr>
              <w:t>硕士研究生</w:t>
            </w:r>
          </w:p>
        </w:tc>
        <w:tc>
          <w:tcPr>
            <w:tcW w:w="1405" w:type="dxa"/>
            <w:tcBorders>
              <w:top w:val="single" w:sz="4" w:space="0" w:color="auto"/>
              <w:left w:val="single" w:sz="4" w:space="0" w:color="auto"/>
              <w:bottom w:val="single" w:sz="4" w:space="0" w:color="auto"/>
              <w:right w:val="single" w:sz="4" w:space="0" w:color="auto"/>
            </w:tcBorders>
            <w:vAlign w:val="center"/>
          </w:tcPr>
          <w:p w:rsidR="006C4847" w:rsidRDefault="006C4847" w:rsidP="003A02CE">
            <w:pPr>
              <w:jc w:val="center"/>
              <w:rPr>
                <w:rFonts w:ascii="仿宋_GB2312" w:eastAsia="仿宋_GB2312" w:hAnsi="宋体"/>
                <w:sz w:val="24"/>
              </w:rPr>
            </w:pPr>
            <w:r>
              <w:rPr>
                <w:rFonts w:ascii="仿宋_GB2312" w:eastAsia="仿宋_GB2312" w:hAnsi="宋体" w:hint="eastAsia"/>
                <w:sz w:val="24"/>
              </w:rPr>
              <w:t>定向学术型</w:t>
            </w:r>
          </w:p>
          <w:p w:rsidR="006C4847" w:rsidRDefault="006C4847" w:rsidP="003A02CE">
            <w:pPr>
              <w:jc w:val="center"/>
              <w:rPr>
                <w:rFonts w:ascii="仿宋_GB2312" w:eastAsia="仿宋_GB2312" w:hAnsi="宋体"/>
                <w:sz w:val="24"/>
              </w:rPr>
            </w:pPr>
            <w:r>
              <w:rPr>
                <w:rFonts w:ascii="仿宋_GB2312" w:eastAsia="仿宋_GB2312" w:hAnsi="宋体" w:hint="eastAsia"/>
                <w:sz w:val="24"/>
              </w:rPr>
              <w:t>博士研究生</w:t>
            </w:r>
          </w:p>
        </w:tc>
        <w:tc>
          <w:tcPr>
            <w:tcW w:w="1626" w:type="dxa"/>
            <w:tcBorders>
              <w:top w:val="single" w:sz="4" w:space="0" w:color="auto"/>
              <w:left w:val="single" w:sz="4" w:space="0" w:color="auto"/>
              <w:bottom w:val="single" w:sz="4" w:space="0" w:color="auto"/>
              <w:right w:val="single" w:sz="4" w:space="0" w:color="auto"/>
            </w:tcBorders>
            <w:vAlign w:val="center"/>
          </w:tcPr>
          <w:p w:rsidR="006C4847" w:rsidRDefault="006C4847" w:rsidP="003A02CE">
            <w:pPr>
              <w:jc w:val="center"/>
              <w:rPr>
                <w:rFonts w:ascii="仿宋_GB2312" w:eastAsia="仿宋_GB2312" w:hAnsi="宋体"/>
                <w:sz w:val="24"/>
              </w:rPr>
            </w:pPr>
            <w:r>
              <w:rPr>
                <w:rFonts w:ascii="仿宋_GB2312" w:eastAsia="仿宋_GB2312" w:hAnsi="宋体" w:hint="eastAsia"/>
                <w:sz w:val="24"/>
              </w:rPr>
              <w:t>定向专业学位</w:t>
            </w:r>
          </w:p>
          <w:p w:rsidR="006C4847" w:rsidRDefault="006C4847" w:rsidP="003A02CE">
            <w:pPr>
              <w:jc w:val="center"/>
              <w:rPr>
                <w:rFonts w:ascii="仿宋_GB2312" w:eastAsia="仿宋_GB2312" w:hAnsi="宋体"/>
                <w:sz w:val="24"/>
              </w:rPr>
            </w:pPr>
            <w:r>
              <w:rPr>
                <w:rFonts w:ascii="仿宋_GB2312" w:eastAsia="仿宋_GB2312" w:hAnsi="宋体" w:hint="eastAsia"/>
                <w:sz w:val="24"/>
              </w:rPr>
              <w:t>博士研究生</w:t>
            </w:r>
          </w:p>
        </w:tc>
      </w:tr>
    </w:tbl>
    <w:p w:rsidR="006C4847" w:rsidRDefault="006C4847" w:rsidP="006C4847">
      <w:pPr>
        <w:widowControl/>
        <w:spacing w:beforeLines="100" w:before="312" w:line="360" w:lineRule="auto"/>
        <w:ind w:firstLineChars="200" w:firstLine="480"/>
        <w:rPr>
          <w:rFonts w:asciiTheme="minorEastAsia" w:eastAsiaTheme="minorEastAsia" w:hAnsiTheme="minorEastAsia" w:cs="Arial"/>
          <w:color w:val="000000"/>
          <w:kern w:val="0"/>
          <w:sz w:val="24"/>
          <w:szCs w:val="32"/>
        </w:rPr>
      </w:pPr>
      <w:r>
        <w:rPr>
          <w:rFonts w:asciiTheme="minorEastAsia" w:eastAsiaTheme="minorEastAsia" w:hAnsiTheme="minorEastAsia" w:cs="Arial" w:hint="eastAsia"/>
          <w:color w:val="000000"/>
          <w:kern w:val="0"/>
          <w:sz w:val="24"/>
          <w:szCs w:val="32"/>
        </w:rPr>
        <w:t>表中8类研究生具体含义如下：</w:t>
      </w:r>
    </w:p>
    <w:p w:rsidR="006C4847" w:rsidRDefault="006C4847" w:rsidP="006C4847">
      <w:pPr>
        <w:widowControl/>
        <w:spacing w:line="360" w:lineRule="auto"/>
        <w:ind w:firstLineChars="200" w:firstLine="480"/>
        <w:rPr>
          <w:rFonts w:asciiTheme="minorEastAsia" w:eastAsiaTheme="minorEastAsia" w:hAnsiTheme="minorEastAsia" w:cs="Arial"/>
          <w:color w:val="000000"/>
          <w:kern w:val="0"/>
          <w:sz w:val="24"/>
          <w:szCs w:val="32"/>
        </w:rPr>
      </w:pPr>
      <w:r>
        <w:rPr>
          <w:rFonts w:asciiTheme="minorEastAsia" w:eastAsiaTheme="minorEastAsia" w:hAnsiTheme="minorEastAsia" w:cs="Arial" w:hint="eastAsia"/>
          <w:color w:val="000000"/>
          <w:kern w:val="0"/>
          <w:sz w:val="24"/>
          <w:szCs w:val="32"/>
        </w:rPr>
        <w:t>1.非定向学术型硕士研究生，即人事档案和人事关系转入同济大学的非定向就业的学术型硕士研究生。</w:t>
      </w:r>
    </w:p>
    <w:p w:rsidR="006C4847" w:rsidRDefault="006C4847" w:rsidP="006C4847">
      <w:pPr>
        <w:widowControl/>
        <w:spacing w:line="360" w:lineRule="auto"/>
        <w:ind w:firstLineChars="200" w:firstLine="480"/>
        <w:rPr>
          <w:rFonts w:asciiTheme="minorEastAsia" w:eastAsiaTheme="minorEastAsia" w:hAnsiTheme="minorEastAsia" w:cs="Arial"/>
          <w:color w:val="000000"/>
          <w:kern w:val="0"/>
          <w:sz w:val="24"/>
          <w:szCs w:val="32"/>
        </w:rPr>
      </w:pPr>
      <w:r>
        <w:rPr>
          <w:rFonts w:asciiTheme="minorEastAsia" w:eastAsiaTheme="minorEastAsia" w:hAnsiTheme="minorEastAsia" w:cs="Arial" w:hint="eastAsia"/>
          <w:color w:val="000000"/>
          <w:kern w:val="0"/>
          <w:sz w:val="24"/>
          <w:szCs w:val="32"/>
        </w:rPr>
        <w:t>2.非定向专业学位硕士研究生，即人事档案和人事关系转入同济大学的非定向就业的专业学位硕士研究生。</w:t>
      </w:r>
    </w:p>
    <w:p w:rsidR="006C4847" w:rsidRDefault="006C4847" w:rsidP="006C4847">
      <w:pPr>
        <w:widowControl/>
        <w:spacing w:line="360" w:lineRule="auto"/>
        <w:ind w:firstLineChars="200" w:firstLine="480"/>
        <w:rPr>
          <w:rFonts w:asciiTheme="minorEastAsia" w:eastAsiaTheme="minorEastAsia" w:hAnsiTheme="minorEastAsia" w:cs="Arial"/>
          <w:color w:val="000000"/>
          <w:kern w:val="0"/>
          <w:sz w:val="24"/>
          <w:szCs w:val="32"/>
        </w:rPr>
      </w:pPr>
      <w:r>
        <w:rPr>
          <w:rFonts w:asciiTheme="minorEastAsia" w:eastAsiaTheme="minorEastAsia" w:hAnsiTheme="minorEastAsia" w:cs="Arial" w:hint="eastAsia"/>
          <w:color w:val="000000"/>
          <w:kern w:val="0"/>
          <w:sz w:val="24"/>
          <w:szCs w:val="32"/>
        </w:rPr>
        <w:t>3.定向学术型硕士研究生，即人事档案和人事关系不转入同济大学的定向就业的学术型硕士研究生。</w:t>
      </w:r>
    </w:p>
    <w:p w:rsidR="006C4847" w:rsidRDefault="006C4847" w:rsidP="006C4847">
      <w:pPr>
        <w:widowControl/>
        <w:spacing w:line="360" w:lineRule="auto"/>
        <w:ind w:firstLineChars="200" w:firstLine="480"/>
        <w:rPr>
          <w:rFonts w:asciiTheme="minorEastAsia" w:eastAsiaTheme="minorEastAsia" w:hAnsiTheme="minorEastAsia" w:cs="Arial"/>
          <w:color w:val="000000"/>
          <w:kern w:val="0"/>
          <w:sz w:val="24"/>
          <w:szCs w:val="32"/>
        </w:rPr>
      </w:pPr>
      <w:r>
        <w:rPr>
          <w:rFonts w:asciiTheme="minorEastAsia" w:eastAsiaTheme="minorEastAsia" w:hAnsiTheme="minorEastAsia" w:cs="Arial" w:hint="eastAsia"/>
          <w:color w:val="000000"/>
          <w:kern w:val="0"/>
          <w:sz w:val="24"/>
          <w:szCs w:val="32"/>
        </w:rPr>
        <w:t>4.定向专业学位硕士研究生，即人事档案和人事关系不转入同济大学的定向就业的专业学位硕士研究生。</w:t>
      </w:r>
    </w:p>
    <w:p w:rsidR="006C4847" w:rsidRDefault="006C4847" w:rsidP="006C4847">
      <w:pPr>
        <w:spacing w:line="360" w:lineRule="auto"/>
        <w:ind w:firstLineChars="200" w:firstLine="480"/>
        <w:rPr>
          <w:rFonts w:asciiTheme="minorEastAsia" w:eastAsiaTheme="minorEastAsia" w:hAnsiTheme="minorEastAsia"/>
          <w:sz w:val="24"/>
          <w:szCs w:val="32"/>
        </w:rPr>
      </w:pPr>
      <w:r>
        <w:rPr>
          <w:rFonts w:asciiTheme="minorEastAsia" w:eastAsiaTheme="minorEastAsia" w:hAnsiTheme="minorEastAsia" w:hint="eastAsia"/>
          <w:sz w:val="24"/>
          <w:szCs w:val="32"/>
        </w:rPr>
        <w:t>5.非定向学术型博士研究生，即人事档案和人事关系转入同济大学的非定向</w:t>
      </w:r>
      <w:r>
        <w:rPr>
          <w:rFonts w:asciiTheme="minorEastAsia" w:eastAsiaTheme="minorEastAsia" w:hAnsiTheme="minorEastAsia" w:hint="eastAsia"/>
          <w:sz w:val="24"/>
          <w:szCs w:val="32"/>
        </w:rPr>
        <w:lastRenderedPageBreak/>
        <w:t>就业的学术型博士研究生。</w:t>
      </w:r>
    </w:p>
    <w:p w:rsidR="006C4847" w:rsidRDefault="006C4847" w:rsidP="006C4847">
      <w:pPr>
        <w:widowControl/>
        <w:spacing w:line="360" w:lineRule="auto"/>
        <w:ind w:firstLineChars="200" w:firstLine="480"/>
        <w:rPr>
          <w:rFonts w:asciiTheme="minorEastAsia" w:eastAsiaTheme="minorEastAsia" w:hAnsiTheme="minorEastAsia" w:cs="Arial"/>
          <w:color w:val="000000"/>
          <w:kern w:val="0"/>
          <w:sz w:val="24"/>
          <w:szCs w:val="32"/>
        </w:rPr>
      </w:pPr>
      <w:r>
        <w:rPr>
          <w:rFonts w:asciiTheme="minorEastAsia" w:eastAsiaTheme="minorEastAsia" w:hAnsiTheme="minorEastAsia" w:cs="Arial" w:hint="eastAsia"/>
          <w:color w:val="000000"/>
          <w:kern w:val="0"/>
          <w:sz w:val="24"/>
          <w:szCs w:val="32"/>
        </w:rPr>
        <w:t>6.非定向专业学位博士研究生，即人事档案和人事关系转入同济大学的非定向就业的专业学位博士研究生。</w:t>
      </w:r>
    </w:p>
    <w:p w:rsidR="006C4847" w:rsidRDefault="006C4847" w:rsidP="006C4847">
      <w:pPr>
        <w:widowControl/>
        <w:spacing w:line="360" w:lineRule="auto"/>
        <w:ind w:firstLineChars="200" w:firstLine="480"/>
        <w:rPr>
          <w:rFonts w:asciiTheme="minorEastAsia" w:eastAsiaTheme="minorEastAsia" w:hAnsiTheme="minorEastAsia" w:cs="Arial"/>
          <w:color w:val="000000"/>
          <w:kern w:val="0"/>
          <w:sz w:val="24"/>
          <w:szCs w:val="32"/>
        </w:rPr>
      </w:pPr>
      <w:r>
        <w:rPr>
          <w:rFonts w:asciiTheme="minorEastAsia" w:eastAsiaTheme="minorEastAsia" w:hAnsiTheme="minorEastAsia" w:cs="Arial" w:hint="eastAsia"/>
          <w:color w:val="000000"/>
          <w:kern w:val="0"/>
          <w:sz w:val="24"/>
          <w:szCs w:val="32"/>
        </w:rPr>
        <w:t>7.定向学术型博士研究生，即人事档案和人事关系不转入同济大学的定向就业的学术型博士研究生。</w:t>
      </w:r>
    </w:p>
    <w:p w:rsidR="006C4847" w:rsidRDefault="006C4847" w:rsidP="006C4847">
      <w:pPr>
        <w:widowControl/>
        <w:spacing w:line="360" w:lineRule="auto"/>
        <w:ind w:firstLineChars="200" w:firstLine="480"/>
        <w:rPr>
          <w:rFonts w:asciiTheme="minorEastAsia" w:eastAsiaTheme="minorEastAsia" w:hAnsiTheme="minorEastAsia" w:cs="Arial"/>
          <w:color w:val="000000"/>
          <w:kern w:val="0"/>
          <w:sz w:val="24"/>
          <w:szCs w:val="32"/>
        </w:rPr>
      </w:pPr>
      <w:r>
        <w:rPr>
          <w:rFonts w:asciiTheme="minorEastAsia" w:eastAsiaTheme="minorEastAsia" w:hAnsiTheme="minorEastAsia" w:cs="Arial" w:hint="eastAsia"/>
          <w:color w:val="000000"/>
          <w:kern w:val="0"/>
          <w:sz w:val="24"/>
          <w:szCs w:val="32"/>
        </w:rPr>
        <w:t>8.定向专业学位博士研究生，即人事档案和人事关系不转入同济大学的定向就业的专业学位博士研究生。</w:t>
      </w:r>
    </w:p>
    <w:p w:rsidR="006C4847" w:rsidRDefault="006C4847" w:rsidP="006C4847">
      <w:pPr>
        <w:widowControl/>
        <w:spacing w:line="360" w:lineRule="auto"/>
        <w:ind w:firstLineChars="200" w:firstLine="480"/>
        <w:rPr>
          <w:rFonts w:asciiTheme="minorEastAsia" w:eastAsiaTheme="minorEastAsia" w:hAnsiTheme="minorEastAsia" w:cs="Arial"/>
          <w:color w:val="000000"/>
          <w:kern w:val="0"/>
          <w:sz w:val="24"/>
          <w:szCs w:val="32"/>
        </w:rPr>
      </w:pPr>
      <w:r>
        <w:rPr>
          <w:rFonts w:asciiTheme="minorEastAsia" w:eastAsiaTheme="minorEastAsia" w:hAnsiTheme="minorEastAsia" w:cs="Arial" w:hint="eastAsia"/>
          <w:color w:val="000000"/>
          <w:kern w:val="0"/>
          <w:sz w:val="24"/>
          <w:szCs w:val="32"/>
        </w:rPr>
        <w:t>在上述分类基础上，结合收费备案情况、奖助情况和专项招生等情况，将研究生进一步归为以下三大类：</w:t>
      </w:r>
    </w:p>
    <w:p w:rsidR="006C4847" w:rsidRDefault="006C4847" w:rsidP="006C4847">
      <w:pPr>
        <w:widowControl/>
        <w:spacing w:line="360" w:lineRule="auto"/>
        <w:ind w:firstLineChars="200" w:firstLine="480"/>
        <w:rPr>
          <w:rFonts w:asciiTheme="minorEastAsia" w:eastAsiaTheme="minorEastAsia" w:hAnsiTheme="minorEastAsia" w:cs="Arial"/>
          <w:color w:val="000000"/>
          <w:kern w:val="0"/>
          <w:sz w:val="24"/>
          <w:szCs w:val="32"/>
        </w:rPr>
      </w:pPr>
      <w:r>
        <w:rPr>
          <w:rFonts w:asciiTheme="minorEastAsia" w:eastAsiaTheme="minorEastAsia" w:hAnsiTheme="minorEastAsia" w:cs="Arial" w:hint="eastAsia"/>
          <w:color w:val="000000"/>
          <w:kern w:val="0"/>
          <w:sz w:val="24"/>
          <w:szCs w:val="32"/>
        </w:rPr>
        <w:t>1.单独备案收费专业学位研究生，范围有软件工程领域工程硕士、法律硕士(非法学)、金融硕士、会计硕士、MBA、MPA、工程管理硕士、翻译硕士和工程博士研究生等。根据录取类别可分为非定向和定向单独备案收费专业学位研究生两类。</w:t>
      </w:r>
    </w:p>
    <w:p w:rsidR="006C4847" w:rsidRDefault="006C4847" w:rsidP="006C4847">
      <w:pPr>
        <w:widowControl/>
        <w:spacing w:line="360" w:lineRule="auto"/>
        <w:ind w:firstLineChars="200" w:firstLine="480"/>
        <w:rPr>
          <w:rFonts w:asciiTheme="minorEastAsia" w:eastAsiaTheme="minorEastAsia" w:hAnsiTheme="minorEastAsia" w:cs="Arial"/>
          <w:color w:val="000000"/>
          <w:kern w:val="0"/>
          <w:sz w:val="24"/>
          <w:szCs w:val="32"/>
        </w:rPr>
      </w:pPr>
      <w:r>
        <w:rPr>
          <w:rFonts w:asciiTheme="minorEastAsia" w:eastAsiaTheme="minorEastAsia" w:hAnsiTheme="minorEastAsia" w:cs="Arial" w:hint="eastAsia"/>
          <w:color w:val="000000"/>
          <w:kern w:val="0"/>
          <w:sz w:val="24"/>
          <w:szCs w:val="32"/>
        </w:rPr>
        <w:t>2.专项研究生，即对口支援、少数民族高层次骨干人才计划、辅导员、国防生和专项项目研究生等，不含专项计划中单独备案收费专业学位研究生。</w:t>
      </w:r>
    </w:p>
    <w:p w:rsidR="006C4847" w:rsidRDefault="006C4847" w:rsidP="006C4847">
      <w:pPr>
        <w:widowControl/>
        <w:spacing w:line="360" w:lineRule="auto"/>
        <w:ind w:firstLineChars="200" w:firstLine="480"/>
        <w:rPr>
          <w:rFonts w:asciiTheme="minorEastAsia" w:eastAsiaTheme="minorEastAsia" w:hAnsiTheme="minorEastAsia"/>
          <w:sz w:val="18"/>
        </w:rPr>
      </w:pPr>
      <w:r>
        <w:rPr>
          <w:rFonts w:asciiTheme="minorEastAsia" w:eastAsiaTheme="minorEastAsia" w:hAnsiTheme="minorEastAsia" w:cs="Arial" w:hint="eastAsia"/>
          <w:color w:val="000000"/>
          <w:kern w:val="0"/>
          <w:sz w:val="24"/>
          <w:szCs w:val="32"/>
        </w:rPr>
        <w:t>3.普通研究生，即除单独备案收费专业学位研究生和专项研究生外的研究生。</w:t>
      </w:r>
    </w:p>
    <w:p w:rsidR="006C4847" w:rsidRDefault="006C4847" w:rsidP="006C4847">
      <w:pPr>
        <w:rPr>
          <w:b/>
          <w:bCs/>
        </w:rPr>
      </w:pPr>
    </w:p>
    <w:p w:rsidR="006C4847" w:rsidRDefault="006C4847" w:rsidP="006C4847">
      <w:pPr>
        <w:rPr>
          <w:b/>
          <w:bCs/>
        </w:rPr>
      </w:pPr>
    </w:p>
    <w:p w:rsidR="006C4847" w:rsidRDefault="006C4847" w:rsidP="006C4847">
      <w:pPr>
        <w:rPr>
          <w:b/>
          <w:bCs/>
        </w:rPr>
      </w:pPr>
    </w:p>
    <w:p w:rsidR="006C4847" w:rsidRDefault="006C4847" w:rsidP="006C4847">
      <w:pPr>
        <w:rPr>
          <w:b/>
          <w:bCs/>
        </w:rPr>
      </w:pPr>
    </w:p>
    <w:p w:rsidR="006C4847" w:rsidRDefault="006C4847" w:rsidP="006C4847">
      <w:pPr>
        <w:rPr>
          <w:b/>
          <w:bCs/>
        </w:rPr>
      </w:pPr>
    </w:p>
    <w:p w:rsidR="006C4847" w:rsidRDefault="006C4847" w:rsidP="006C4847">
      <w:pPr>
        <w:rPr>
          <w:b/>
          <w:bCs/>
        </w:rPr>
      </w:pPr>
    </w:p>
    <w:p w:rsidR="006C4847" w:rsidRDefault="006C4847" w:rsidP="006C4847">
      <w:pPr>
        <w:rPr>
          <w:b/>
          <w:bCs/>
        </w:rPr>
      </w:pPr>
    </w:p>
    <w:p w:rsidR="006C4847" w:rsidRDefault="006C4847" w:rsidP="006C4847">
      <w:pPr>
        <w:rPr>
          <w:b/>
          <w:bCs/>
        </w:rPr>
      </w:pPr>
    </w:p>
    <w:p w:rsidR="006C4847" w:rsidRDefault="006C4847" w:rsidP="006C4847">
      <w:pPr>
        <w:rPr>
          <w:b/>
          <w:bCs/>
        </w:rPr>
      </w:pPr>
    </w:p>
    <w:p w:rsidR="006C4847" w:rsidRDefault="006C4847" w:rsidP="006C4847">
      <w:pPr>
        <w:rPr>
          <w:b/>
          <w:bCs/>
        </w:rPr>
      </w:pPr>
    </w:p>
    <w:p w:rsidR="006C4847" w:rsidRDefault="006C4847" w:rsidP="006C4847">
      <w:pPr>
        <w:rPr>
          <w:b/>
          <w:bCs/>
        </w:rPr>
      </w:pPr>
    </w:p>
    <w:p w:rsidR="006C4847" w:rsidRDefault="006C4847" w:rsidP="006C4847">
      <w:pPr>
        <w:rPr>
          <w:b/>
          <w:bCs/>
        </w:rPr>
      </w:pPr>
    </w:p>
    <w:p w:rsidR="006C4847" w:rsidRDefault="006C4847" w:rsidP="006C4847">
      <w:pPr>
        <w:rPr>
          <w:b/>
          <w:bCs/>
        </w:rPr>
      </w:pPr>
    </w:p>
    <w:p w:rsidR="006C4847" w:rsidRDefault="006C4847" w:rsidP="006C4847">
      <w:pPr>
        <w:rPr>
          <w:b/>
          <w:bCs/>
        </w:rPr>
      </w:pPr>
    </w:p>
    <w:p w:rsidR="006C4847" w:rsidRDefault="006C4847" w:rsidP="006C4847">
      <w:pPr>
        <w:rPr>
          <w:b/>
          <w:bCs/>
        </w:rPr>
      </w:pPr>
    </w:p>
    <w:p w:rsidR="006C4847" w:rsidRDefault="006C4847" w:rsidP="006C4847">
      <w:pPr>
        <w:rPr>
          <w:b/>
          <w:bCs/>
        </w:rPr>
      </w:pPr>
    </w:p>
    <w:p w:rsidR="006C4847" w:rsidRDefault="006C4847" w:rsidP="006C4847">
      <w:pPr>
        <w:rPr>
          <w:b/>
          <w:bCs/>
        </w:rPr>
      </w:pPr>
    </w:p>
    <w:p w:rsidR="006C4847" w:rsidRDefault="006C4847" w:rsidP="006C4847">
      <w:pPr>
        <w:rPr>
          <w:b/>
          <w:bCs/>
        </w:rPr>
      </w:pPr>
    </w:p>
    <w:p w:rsidR="006C4847" w:rsidRDefault="006C4847" w:rsidP="006C4847">
      <w:pPr>
        <w:rPr>
          <w:b/>
          <w:bCs/>
        </w:rPr>
      </w:pPr>
    </w:p>
    <w:p w:rsidR="00B578F0" w:rsidRPr="006C4847" w:rsidRDefault="00B578F0">
      <w:bookmarkStart w:id="2" w:name="_GoBack"/>
      <w:bookmarkEnd w:id="2"/>
    </w:p>
    <w:sectPr w:rsidR="00B578F0" w:rsidRPr="006C484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847"/>
    <w:rsid w:val="00044E24"/>
    <w:rsid w:val="000B4481"/>
    <w:rsid w:val="000D1AA6"/>
    <w:rsid w:val="001C5814"/>
    <w:rsid w:val="00261AF5"/>
    <w:rsid w:val="002B5B8B"/>
    <w:rsid w:val="002E5E7E"/>
    <w:rsid w:val="003C60A7"/>
    <w:rsid w:val="003E5AA6"/>
    <w:rsid w:val="004802C0"/>
    <w:rsid w:val="004C3BD4"/>
    <w:rsid w:val="005B7CC8"/>
    <w:rsid w:val="0062276F"/>
    <w:rsid w:val="00673824"/>
    <w:rsid w:val="006C4847"/>
    <w:rsid w:val="006F11BF"/>
    <w:rsid w:val="0078099F"/>
    <w:rsid w:val="00831958"/>
    <w:rsid w:val="00892D29"/>
    <w:rsid w:val="008D1A3E"/>
    <w:rsid w:val="00900404"/>
    <w:rsid w:val="00A53493"/>
    <w:rsid w:val="00AC7CC2"/>
    <w:rsid w:val="00AD470B"/>
    <w:rsid w:val="00AD5C6E"/>
    <w:rsid w:val="00B578F0"/>
    <w:rsid w:val="00D46DD3"/>
    <w:rsid w:val="00EB16E3"/>
    <w:rsid w:val="00ED4D3C"/>
    <w:rsid w:val="00FA53B9"/>
    <w:rsid w:val="00FB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71ACB"/>
  <w15:chartTrackingRefBased/>
  <w15:docId w15:val="{1A0F9384-5226-41AF-BB96-743D5EEBA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84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598</Words>
  <Characters>3410</Characters>
  <Application>Microsoft Office Word</Application>
  <DocSecurity>0</DocSecurity>
  <Lines>28</Lines>
  <Paragraphs>7</Paragraphs>
  <ScaleCrop>false</ScaleCrop>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吴鹏凯</dc:creator>
  <cp:keywords/>
  <dc:description/>
  <cp:lastModifiedBy>吴鹏凯</cp:lastModifiedBy>
  <cp:revision>1</cp:revision>
  <dcterms:created xsi:type="dcterms:W3CDTF">2017-07-20T01:06:00Z</dcterms:created>
  <dcterms:modified xsi:type="dcterms:W3CDTF">2017-07-20T01:06:00Z</dcterms:modified>
</cp:coreProperties>
</file>