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E7632" w:rsidRDefault="007E7632" w:rsidP="007E7632">
      <w:pPr>
        <w:pageBreakBefore/>
        <w:tabs>
          <w:tab w:val="left" w:pos="1482"/>
        </w:tabs>
        <w:spacing w:beforeLines="100" w:before="312" w:afterLines="100" w:after="312" w:line="360" w:lineRule="auto"/>
        <w:jc w:val="center"/>
        <w:outlineLvl w:val="0"/>
        <w:rPr>
          <w:rFonts w:ascii="Arial" w:eastAsia="黑体" w:hAnsi="Arial"/>
          <w:b/>
          <w:bCs/>
          <w:sz w:val="32"/>
          <w:szCs w:val="32"/>
        </w:rPr>
      </w:pPr>
      <w:bookmarkStart w:id="0" w:name="_Toc457580713"/>
      <w:r>
        <w:rPr>
          <w:rFonts w:ascii="Arial" w:eastAsia="黑体" w:hAnsi="Arial"/>
          <w:b/>
          <w:bCs/>
          <w:sz w:val="32"/>
          <w:szCs w:val="32"/>
        </w:rPr>
        <w:t>同济大学与国外（境外）高等院校（科学研究机构）开展研究生双学位培养合作的管理办法</w:t>
      </w:r>
      <w:bookmarkEnd w:id="0"/>
    </w:p>
    <w:p w:rsidR="007E7632" w:rsidRDefault="007E7632" w:rsidP="007E7632">
      <w:pPr>
        <w:spacing w:afterLines="100" w:after="312" w:line="360" w:lineRule="auto"/>
        <w:ind w:firstLineChars="200" w:firstLine="420"/>
        <w:jc w:val="center"/>
        <w:rPr>
          <w:rFonts w:ascii="宋体" w:hAnsi="宋体"/>
          <w:bCs/>
          <w:szCs w:val="21"/>
        </w:rPr>
      </w:pPr>
      <w:r>
        <w:rPr>
          <w:rFonts w:ascii="宋体" w:hAnsi="宋体"/>
          <w:bCs/>
          <w:szCs w:val="21"/>
        </w:rPr>
        <w:t>同</w:t>
      </w:r>
      <w:proofErr w:type="gramStart"/>
      <w:r>
        <w:rPr>
          <w:rFonts w:ascii="宋体" w:hAnsi="宋体"/>
          <w:bCs/>
          <w:szCs w:val="21"/>
        </w:rPr>
        <w:t>研</w:t>
      </w:r>
      <w:proofErr w:type="gramEnd"/>
      <w:r>
        <w:rPr>
          <w:rFonts w:ascii="宋体" w:hAnsi="宋体"/>
          <w:bCs/>
          <w:szCs w:val="21"/>
        </w:rPr>
        <w:t>【2012】21号</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第一条</w:t>
      </w:r>
      <w:r>
        <w:rPr>
          <w:rFonts w:ascii="黑体" w:eastAsia="黑体" w:hAnsi="黑体"/>
          <w:b/>
          <w:bCs/>
          <w:color w:val="000000"/>
          <w:sz w:val="24"/>
        </w:rPr>
        <w:t xml:space="preserve">  </w:t>
      </w:r>
      <w:r>
        <w:rPr>
          <w:rFonts w:ascii="黑体" w:eastAsia="黑体" w:hAnsi="黑体" w:hint="eastAsia"/>
          <w:b/>
          <w:bCs/>
          <w:color w:val="000000"/>
          <w:sz w:val="24"/>
        </w:rPr>
        <w:t>目的：</w:t>
      </w:r>
      <w:r>
        <w:rPr>
          <w:rFonts w:asciiTheme="minorEastAsia" w:eastAsiaTheme="minorEastAsia" w:hAnsiTheme="minorEastAsia" w:cs="宋体" w:hint="eastAsia"/>
          <w:color w:val="000000"/>
          <w:sz w:val="24"/>
        </w:rPr>
        <w:t>为促进我校研究生教育的国际交流与合作，规范管理，保证培养质量，全面提高我校国际化水平和综合实力，特制定本管理办法。</w:t>
      </w:r>
    </w:p>
    <w:p w:rsidR="007E7632" w:rsidRDefault="007E7632" w:rsidP="007E7632">
      <w:pPr>
        <w:tabs>
          <w:tab w:val="left" w:pos="1635"/>
          <w:tab w:val="left" w:pos="1800"/>
        </w:tabs>
        <w:spacing w:line="360" w:lineRule="auto"/>
        <w:ind w:left="482"/>
        <w:rPr>
          <w:rFonts w:asciiTheme="minorEastAsia" w:eastAsiaTheme="minorEastAsia" w:hAnsiTheme="minorEastAsia"/>
          <w:color w:val="000000"/>
          <w:sz w:val="24"/>
        </w:rPr>
      </w:pPr>
      <w:r>
        <w:rPr>
          <w:rFonts w:ascii="黑体" w:eastAsia="黑体" w:hAnsi="黑体" w:hint="eastAsia"/>
          <w:b/>
          <w:bCs/>
          <w:color w:val="000000"/>
          <w:sz w:val="24"/>
        </w:rPr>
        <w:t>第二条  定义：</w:t>
      </w:r>
      <w:r>
        <w:rPr>
          <w:rFonts w:asciiTheme="minorEastAsia" w:eastAsiaTheme="minorEastAsia" w:hAnsiTheme="minorEastAsia" w:cs="宋体" w:hint="eastAsia"/>
          <w:color w:val="000000"/>
          <w:sz w:val="24"/>
        </w:rPr>
        <w:t>研究生双学位培养是指我校同国外（境外）高等院校（科学研究机构）签订合作协议，共同培养在一方已正式注册的在读优秀硕士、博士研究生，并分别授予双方学位；研究生双学位培养的合作双方分别称为派遣方和接收方；派遣和接收的研究生身份为双学位研究生。</w:t>
      </w:r>
    </w:p>
    <w:p w:rsidR="007E7632" w:rsidRDefault="007E7632" w:rsidP="007E7632">
      <w:pPr>
        <w:tabs>
          <w:tab w:val="left" w:pos="1635"/>
          <w:tab w:val="left" w:pos="1800"/>
        </w:tabs>
        <w:spacing w:line="360" w:lineRule="auto"/>
        <w:ind w:left="482"/>
        <w:rPr>
          <w:rFonts w:asciiTheme="minorEastAsia" w:eastAsiaTheme="minorEastAsia" w:hAnsiTheme="minorEastAsia"/>
          <w:color w:val="000000"/>
          <w:sz w:val="24"/>
        </w:rPr>
      </w:pPr>
      <w:r>
        <w:rPr>
          <w:rFonts w:ascii="黑体" w:eastAsia="黑体" w:hAnsi="黑体" w:hint="eastAsia"/>
          <w:b/>
          <w:bCs/>
          <w:color w:val="000000"/>
          <w:sz w:val="24"/>
        </w:rPr>
        <w:t>第三条  合作内容：</w:t>
      </w:r>
      <w:r>
        <w:rPr>
          <w:rFonts w:asciiTheme="minorEastAsia" w:eastAsiaTheme="minorEastAsia" w:hAnsiTheme="minorEastAsia" w:cs="宋体" w:hint="eastAsia"/>
          <w:color w:val="000000"/>
          <w:sz w:val="24"/>
        </w:rPr>
        <w:t>双学位研究生在派遣方和接收方分别接受培养过程，通过课程选修、学分互认和学位论文撰写与答辩等规定的培养环节，合作完成全部培养过程。</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第四条</w:t>
      </w:r>
      <w:r>
        <w:rPr>
          <w:rFonts w:ascii="黑体" w:eastAsia="黑体" w:hAnsi="黑体"/>
          <w:b/>
          <w:bCs/>
          <w:color w:val="000000"/>
          <w:sz w:val="24"/>
        </w:rPr>
        <w:t xml:space="preserve">  </w:t>
      </w:r>
      <w:r>
        <w:rPr>
          <w:rFonts w:ascii="黑体" w:eastAsia="黑体" w:hAnsi="黑体" w:hint="eastAsia"/>
          <w:b/>
          <w:bCs/>
          <w:color w:val="000000"/>
          <w:sz w:val="24"/>
        </w:rPr>
        <w:t>协议签订：</w:t>
      </w:r>
      <w:r>
        <w:rPr>
          <w:rFonts w:asciiTheme="minorEastAsia" w:eastAsiaTheme="minorEastAsia" w:hAnsiTheme="minorEastAsia" w:cs="宋体" w:hint="eastAsia"/>
          <w:color w:val="000000"/>
          <w:sz w:val="24"/>
        </w:rPr>
        <w:t>我校各学院（系、所）与国外（境外）高等院校（科研机构）应在平等协商基础上，确定双学位研究生培养学科、专业，明确合作细则，起草并签订合作协议。</w:t>
      </w:r>
    </w:p>
    <w:p w:rsidR="007E7632" w:rsidRDefault="007E7632" w:rsidP="007E7632">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cs="宋体" w:hint="eastAsia"/>
          <w:color w:val="000000"/>
          <w:sz w:val="24"/>
        </w:rPr>
        <w:t>协议应对双方合作培养的人数、推荐选拔程序、培养方式、互派期限、课程计划、学分互认、学位授予、知识产权归属、学费收取或互免、互相提供申请奖学金机会、项目运作责任机构以及合作期限等内容作明确规定，并明确派遣至我校的双学位研究生须在华购买我国教育部指定的外国留学生综合医疗保险。</w:t>
      </w:r>
    </w:p>
    <w:p w:rsidR="007E7632" w:rsidRDefault="007E7632" w:rsidP="007E7632">
      <w:pPr>
        <w:spacing w:line="360" w:lineRule="auto"/>
        <w:ind w:firstLineChars="200" w:firstLine="480"/>
        <w:rPr>
          <w:rFonts w:asciiTheme="minorEastAsia" w:eastAsiaTheme="minorEastAsia" w:hAnsiTheme="minorEastAsia"/>
          <w:color w:val="000000"/>
          <w:sz w:val="24"/>
        </w:rPr>
      </w:pPr>
      <w:r>
        <w:rPr>
          <w:rFonts w:asciiTheme="minorEastAsia" w:eastAsiaTheme="minorEastAsia" w:hAnsiTheme="minorEastAsia" w:cs="宋体" w:hint="eastAsia"/>
          <w:color w:val="000000"/>
          <w:sz w:val="24"/>
        </w:rPr>
        <w:t>学院（系、所）需要开展的研究生双学位合作项目在签署前须报研究生院审核、外事办公室会签，经学校法律顾问审定后提交校长签署。</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第五条</w:t>
      </w:r>
      <w:r>
        <w:rPr>
          <w:rFonts w:ascii="黑体" w:eastAsia="黑体" w:hAnsi="黑体"/>
          <w:b/>
          <w:bCs/>
          <w:color w:val="000000"/>
          <w:sz w:val="24"/>
        </w:rPr>
        <w:t xml:space="preserve">  </w:t>
      </w:r>
      <w:r>
        <w:rPr>
          <w:rFonts w:ascii="黑体" w:eastAsia="黑体" w:hAnsi="黑体" w:hint="eastAsia"/>
          <w:b/>
          <w:bCs/>
          <w:color w:val="000000"/>
          <w:sz w:val="24"/>
        </w:rPr>
        <w:t>合作专业：</w:t>
      </w:r>
      <w:r>
        <w:rPr>
          <w:rFonts w:asciiTheme="minorEastAsia" w:eastAsiaTheme="minorEastAsia" w:hAnsiTheme="minorEastAsia" w:cs="宋体" w:hint="eastAsia"/>
          <w:color w:val="000000"/>
          <w:sz w:val="24"/>
        </w:rPr>
        <w:t>研究生双学位培养合作开展的学科、专业应为国家予以批准、具有相应学位授予权的学科和专业。要密切结合我校学科建设的需要，鼓励与国外（境外）一流大学以及具有优势学科的高等院校（科学研究机构）进行研究生双学位培养合作。</w:t>
      </w:r>
      <w:r>
        <w:rPr>
          <w:rFonts w:asciiTheme="minorEastAsia" w:eastAsiaTheme="minorEastAsia" w:hAnsiTheme="minorEastAsia"/>
          <w:color w:val="000000"/>
          <w:sz w:val="24"/>
        </w:rPr>
        <w:t xml:space="preserve"> </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第六条</w:t>
      </w:r>
      <w:r>
        <w:rPr>
          <w:rFonts w:ascii="黑体" w:eastAsia="黑体" w:hAnsi="黑体"/>
          <w:b/>
          <w:bCs/>
          <w:color w:val="000000"/>
          <w:sz w:val="24"/>
        </w:rPr>
        <w:t xml:space="preserve">  </w:t>
      </w:r>
      <w:r>
        <w:rPr>
          <w:rFonts w:ascii="黑体" w:eastAsia="黑体" w:hAnsi="黑体" w:hint="eastAsia"/>
          <w:b/>
          <w:bCs/>
          <w:color w:val="000000"/>
          <w:sz w:val="24"/>
        </w:rPr>
        <w:t>推荐选拔及录取：</w:t>
      </w:r>
      <w:r>
        <w:rPr>
          <w:rFonts w:asciiTheme="minorEastAsia" w:eastAsiaTheme="minorEastAsia" w:hAnsiTheme="minorEastAsia" w:cs="宋体" w:hint="eastAsia"/>
          <w:color w:val="000000"/>
          <w:sz w:val="24"/>
        </w:rPr>
        <w:t>派遣方负责根据接收方有关要求，考查具备派遣资格研究生的各方面表现，择优确定推荐人选。接收方可根据派遣方提供的推荐</w:t>
      </w:r>
      <w:r>
        <w:rPr>
          <w:rFonts w:asciiTheme="minorEastAsia" w:eastAsiaTheme="minorEastAsia" w:hAnsiTheme="minorEastAsia" w:cs="宋体" w:hint="eastAsia"/>
          <w:color w:val="000000"/>
          <w:sz w:val="24"/>
        </w:rPr>
        <w:lastRenderedPageBreak/>
        <w:t>材料，以笔试与面试相结合的方式择优确定录取人选。派遣至我校的研究生需按照注册双学位留学生（注册双学位港澳台生）招生方式录取。</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第七条</w:t>
      </w:r>
      <w:r>
        <w:rPr>
          <w:rFonts w:ascii="黑体" w:eastAsia="黑体" w:hAnsi="黑体"/>
          <w:b/>
          <w:bCs/>
          <w:color w:val="000000"/>
          <w:sz w:val="24"/>
        </w:rPr>
        <w:t xml:space="preserve">  </w:t>
      </w:r>
      <w:r>
        <w:rPr>
          <w:rFonts w:ascii="黑体" w:eastAsia="黑体" w:hAnsi="黑体" w:hint="eastAsia"/>
          <w:b/>
          <w:bCs/>
          <w:color w:val="000000"/>
          <w:sz w:val="24"/>
        </w:rPr>
        <w:t>课程学习：</w:t>
      </w:r>
      <w:r>
        <w:rPr>
          <w:rFonts w:asciiTheme="minorEastAsia" w:eastAsiaTheme="minorEastAsia" w:hAnsiTheme="minorEastAsia" w:cs="宋体" w:hint="eastAsia"/>
          <w:color w:val="000000"/>
          <w:sz w:val="24"/>
        </w:rPr>
        <w:t>派遣方和接收方的学生须通过课程选修和学分互认的方式取得双方硕士（博士）阶段所要求的学分。学分互认时，原则上我校派出和接收的学生在我校完成的学分应不少于我校培养方案所要求学分的</w:t>
      </w:r>
      <w:r>
        <w:rPr>
          <w:rFonts w:asciiTheme="minorEastAsia" w:eastAsiaTheme="minorEastAsia" w:hAnsiTheme="minorEastAsia"/>
          <w:color w:val="000000"/>
          <w:sz w:val="24"/>
        </w:rPr>
        <w:t>1/2</w:t>
      </w:r>
      <w:r>
        <w:rPr>
          <w:rFonts w:asciiTheme="minorEastAsia" w:eastAsiaTheme="minorEastAsia" w:hAnsiTheme="minorEastAsia" w:cs="宋体" w:hint="eastAsia"/>
          <w:color w:val="000000"/>
          <w:sz w:val="24"/>
        </w:rPr>
        <w:t>。其中，同济大学培养方案中规定的公共学位课（我校接收的双学位港澳台生的公共学位课学分可由专业学位课学分替代）、讲座及论文选题应在同济大学完成，其它学分可在合作方完成。选修的课程和学分互认应经过其所学专业所属的学科专业委员会的认可。</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第八条  论文选题及中期考核：</w:t>
      </w:r>
      <w:r>
        <w:rPr>
          <w:rFonts w:asciiTheme="minorEastAsia" w:eastAsiaTheme="minorEastAsia" w:hAnsiTheme="minorEastAsia" w:cs="宋体" w:hint="eastAsia"/>
          <w:color w:val="000000"/>
          <w:sz w:val="24"/>
        </w:rPr>
        <w:t>我校派遣和接收的双学位研究生应分别按照《同济大学学术型硕士研究生培养工作规定》、《同济大学全日制硕士专业学位研究生培养工作规定》、《同济大学攻读博士学位研究生培养工作规定》完成论文选题及中期考核。开题及中期考核可远程进行，其方式应经过其所学专业所属的学科专业委员会的认可。</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第九条</w:t>
      </w:r>
      <w:r>
        <w:rPr>
          <w:rFonts w:ascii="黑体" w:eastAsia="黑体" w:hAnsi="黑体"/>
          <w:b/>
          <w:bCs/>
          <w:color w:val="000000"/>
          <w:sz w:val="24"/>
        </w:rPr>
        <w:t xml:space="preserve">  </w:t>
      </w:r>
      <w:r>
        <w:rPr>
          <w:rFonts w:ascii="黑体" w:eastAsia="黑体" w:hAnsi="黑体" w:hint="eastAsia"/>
          <w:b/>
          <w:bCs/>
          <w:color w:val="000000"/>
          <w:sz w:val="24"/>
        </w:rPr>
        <w:t>学位论文撰写及答辩：</w:t>
      </w:r>
      <w:r>
        <w:rPr>
          <w:rFonts w:asciiTheme="minorEastAsia" w:eastAsiaTheme="minorEastAsia" w:hAnsiTheme="minorEastAsia" w:cs="宋体" w:hint="eastAsia"/>
          <w:color w:val="000000"/>
          <w:sz w:val="24"/>
        </w:rPr>
        <w:t>学位论文应由合作双方导师联合指导，双学位研究生须按照《同济大学关于博士硕士学位申请者发表学术论文的规定》及《同济大学学位授予工作细则》等相关规定的要求发表学术论文、完成学位论文的撰写、学位论文的评审与答辩，从而获得申请同济大学硕士（博士）学位的资格；同时，须按照双学位合作方的相关规定获得申请硕士（博士）学位的资格。学位论文答辩可远程进行，其方式应经过其所学专业所属的学位</w:t>
      </w:r>
      <w:proofErr w:type="gramStart"/>
      <w:r>
        <w:rPr>
          <w:rFonts w:asciiTheme="minorEastAsia" w:eastAsiaTheme="minorEastAsia" w:hAnsiTheme="minorEastAsia" w:cs="宋体" w:hint="eastAsia"/>
          <w:color w:val="000000"/>
          <w:sz w:val="24"/>
        </w:rPr>
        <w:t>评定分</w:t>
      </w:r>
      <w:proofErr w:type="gramEnd"/>
      <w:r>
        <w:rPr>
          <w:rFonts w:asciiTheme="minorEastAsia" w:eastAsiaTheme="minorEastAsia" w:hAnsiTheme="minorEastAsia" w:cs="宋体" w:hint="eastAsia"/>
          <w:color w:val="000000"/>
          <w:sz w:val="24"/>
        </w:rPr>
        <w:t>委员会的认可。</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第十条  学位授予：</w:t>
      </w:r>
      <w:r>
        <w:rPr>
          <w:rFonts w:asciiTheme="minorEastAsia" w:eastAsiaTheme="minorEastAsia" w:hAnsiTheme="minorEastAsia" w:cs="宋体" w:hint="eastAsia"/>
          <w:color w:val="000000"/>
          <w:sz w:val="24"/>
        </w:rPr>
        <w:t>达到合作双方各自学位授予条件的研究生可申请双方分别颁发的学位，但接收方颁发派遣</w:t>
      </w:r>
      <w:proofErr w:type="gramStart"/>
      <w:r>
        <w:rPr>
          <w:rFonts w:asciiTheme="minorEastAsia" w:eastAsiaTheme="minorEastAsia" w:hAnsiTheme="minorEastAsia" w:cs="宋体" w:hint="eastAsia"/>
          <w:color w:val="000000"/>
          <w:sz w:val="24"/>
        </w:rPr>
        <w:t>方学生</w:t>
      </w:r>
      <w:proofErr w:type="gramEnd"/>
      <w:r>
        <w:rPr>
          <w:rFonts w:asciiTheme="minorEastAsia" w:eastAsiaTheme="minorEastAsia" w:hAnsiTheme="minorEastAsia" w:cs="宋体" w:hint="eastAsia"/>
          <w:color w:val="000000"/>
          <w:sz w:val="24"/>
        </w:rPr>
        <w:t>的学位应以派遣方颁发该生学位为前提。</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第十一条</w:t>
      </w:r>
      <w:r>
        <w:rPr>
          <w:rFonts w:ascii="黑体" w:eastAsia="黑体" w:hAnsi="黑体"/>
          <w:b/>
          <w:bCs/>
          <w:color w:val="000000"/>
          <w:sz w:val="24"/>
        </w:rPr>
        <w:t xml:space="preserve">  </w:t>
      </w:r>
      <w:r>
        <w:rPr>
          <w:rFonts w:ascii="黑体" w:eastAsia="黑体" w:hAnsi="黑体" w:hint="eastAsia"/>
          <w:b/>
          <w:bCs/>
          <w:color w:val="000000"/>
          <w:sz w:val="24"/>
        </w:rPr>
        <w:t>学籍管理：</w:t>
      </w:r>
      <w:r>
        <w:rPr>
          <w:rFonts w:asciiTheme="minorEastAsia" w:eastAsiaTheme="minorEastAsia" w:hAnsiTheme="minorEastAsia" w:cs="宋体" w:hint="eastAsia"/>
          <w:color w:val="000000"/>
          <w:sz w:val="24"/>
        </w:rPr>
        <w:t>派遣方和接收方按照各自的在籍研究生管理要求进行管理。派遣至我校的双学位研究生按照《同济大学研究生学籍管理规定》及《同济大学外国留学生须知》等有关规章制度进行管理，在我校注册学习时间至少两学期。</w:t>
      </w:r>
      <w:r>
        <w:rPr>
          <w:rFonts w:asciiTheme="minorEastAsia" w:eastAsiaTheme="minorEastAsia" w:hAnsiTheme="minorEastAsia"/>
          <w:color w:val="000000"/>
          <w:sz w:val="24"/>
        </w:rPr>
        <w:t xml:space="preserve"> </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t>第十二条</w:t>
      </w:r>
      <w:r>
        <w:rPr>
          <w:rFonts w:ascii="黑体" w:eastAsia="黑体" w:hAnsi="黑体"/>
          <w:b/>
          <w:bCs/>
          <w:color w:val="000000"/>
          <w:sz w:val="24"/>
        </w:rPr>
        <w:t xml:space="preserve">  </w:t>
      </w:r>
      <w:r>
        <w:rPr>
          <w:rFonts w:ascii="黑体" w:eastAsia="黑体" w:hAnsi="黑体" w:hint="eastAsia"/>
          <w:b/>
          <w:bCs/>
          <w:color w:val="000000"/>
          <w:sz w:val="24"/>
        </w:rPr>
        <w:t>学费：</w:t>
      </w:r>
      <w:r>
        <w:rPr>
          <w:rFonts w:asciiTheme="minorEastAsia" w:eastAsiaTheme="minorEastAsia" w:hAnsiTheme="minorEastAsia" w:cs="宋体" w:hint="eastAsia"/>
          <w:color w:val="000000"/>
          <w:sz w:val="24"/>
        </w:rPr>
        <w:t>双学位研究生原则上只在派遣方缴纳学费，免除在接收方的学费。双方应争取为学生提供申请奖学金及住宿的机会。</w:t>
      </w:r>
    </w:p>
    <w:p w:rsidR="007E7632" w:rsidRDefault="007E7632" w:rsidP="007E7632">
      <w:pPr>
        <w:spacing w:line="360" w:lineRule="auto"/>
        <w:ind w:firstLineChars="200" w:firstLine="482"/>
        <w:rPr>
          <w:rFonts w:asciiTheme="minorEastAsia" w:eastAsiaTheme="minorEastAsia" w:hAnsiTheme="minorEastAsia"/>
          <w:color w:val="000000"/>
          <w:sz w:val="24"/>
        </w:rPr>
      </w:pPr>
      <w:r>
        <w:rPr>
          <w:rFonts w:ascii="黑体" w:eastAsia="黑体" w:hAnsi="黑体" w:hint="eastAsia"/>
          <w:b/>
          <w:bCs/>
          <w:color w:val="000000"/>
          <w:sz w:val="24"/>
        </w:rPr>
        <w:lastRenderedPageBreak/>
        <w:t>第十三条</w:t>
      </w:r>
      <w:r>
        <w:rPr>
          <w:rFonts w:ascii="黑体" w:eastAsia="黑体" w:hAnsi="黑体"/>
          <w:b/>
          <w:bCs/>
          <w:color w:val="000000"/>
          <w:sz w:val="24"/>
        </w:rPr>
        <w:t xml:space="preserve">  </w:t>
      </w:r>
      <w:r>
        <w:rPr>
          <w:rFonts w:ascii="黑体" w:eastAsia="黑体" w:hAnsi="黑体" w:hint="eastAsia"/>
          <w:b/>
          <w:bCs/>
          <w:color w:val="000000"/>
          <w:sz w:val="24"/>
        </w:rPr>
        <w:t>备案要求：</w:t>
      </w:r>
      <w:r>
        <w:rPr>
          <w:rFonts w:asciiTheme="minorEastAsia" w:eastAsiaTheme="minorEastAsia" w:hAnsiTheme="minorEastAsia" w:cs="宋体" w:hint="eastAsia"/>
          <w:color w:val="000000"/>
          <w:sz w:val="24"/>
        </w:rPr>
        <w:t>合作协议签署后应提交原件（一份）到研究生院和复印件（一份）到外事办公室备案。其它相关的学生申请和选拔材料、学生在读期间各种档案资料须按照双方存档要求在培养单位进行存档。</w:t>
      </w:r>
    </w:p>
    <w:p w:rsidR="007E7632" w:rsidRDefault="007E7632" w:rsidP="007E7632">
      <w:pPr>
        <w:spacing w:line="360" w:lineRule="auto"/>
        <w:ind w:firstLineChars="200" w:firstLine="482"/>
        <w:rPr>
          <w:rFonts w:ascii="黑体" w:eastAsia="黑体" w:hAnsi="黑体"/>
          <w:b/>
          <w:bCs/>
          <w:color w:val="000000"/>
          <w:sz w:val="24"/>
        </w:rPr>
      </w:pPr>
      <w:r>
        <w:rPr>
          <w:rFonts w:ascii="黑体" w:eastAsia="黑体" w:hAnsi="黑体" w:hint="eastAsia"/>
          <w:b/>
          <w:bCs/>
          <w:color w:val="000000"/>
          <w:sz w:val="24"/>
        </w:rPr>
        <w:t>第十四条  本管理办法自公布之日起生效，由同济大学研究生院负责解释。</w:t>
      </w:r>
    </w:p>
    <w:p w:rsidR="007E7632" w:rsidRDefault="007E7632" w:rsidP="007E7632">
      <w:pPr>
        <w:tabs>
          <w:tab w:val="left" w:pos="5940"/>
          <w:tab w:val="left" w:pos="6300"/>
        </w:tabs>
        <w:spacing w:line="360" w:lineRule="auto"/>
        <w:ind w:firstLineChars="200" w:firstLine="480"/>
        <w:jc w:val="right"/>
        <w:rPr>
          <w:rFonts w:asciiTheme="minorEastAsia" w:eastAsiaTheme="minorEastAsia" w:hAnsiTheme="minorEastAsia"/>
          <w:color w:val="000000"/>
          <w:sz w:val="24"/>
        </w:rPr>
      </w:pPr>
      <w:r>
        <w:rPr>
          <w:rFonts w:asciiTheme="minorEastAsia" w:eastAsiaTheme="minorEastAsia" w:hAnsiTheme="minorEastAsia"/>
          <w:color w:val="000000"/>
          <w:sz w:val="24"/>
        </w:rPr>
        <w:t xml:space="preserve">                                                            </w:t>
      </w:r>
      <w:r>
        <w:rPr>
          <w:rFonts w:asciiTheme="minorEastAsia" w:eastAsiaTheme="minorEastAsia" w:hAnsiTheme="minorEastAsia" w:hint="eastAsia"/>
          <w:color w:val="000000"/>
          <w:sz w:val="24"/>
        </w:rPr>
        <w:t xml:space="preserve">                                                          </w:t>
      </w:r>
      <w:r>
        <w:rPr>
          <w:rFonts w:asciiTheme="minorEastAsia" w:eastAsiaTheme="minorEastAsia" w:hAnsiTheme="minorEastAsia" w:cs="宋体" w:hint="eastAsia"/>
          <w:color w:val="000000"/>
          <w:sz w:val="24"/>
        </w:rPr>
        <w:t>同济大学研究生院</w:t>
      </w:r>
    </w:p>
    <w:p w:rsidR="007E7632" w:rsidRDefault="007E7632" w:rsidP="007E7632">
      <w:pPr>
        <w:tabs>
          <w:tab w:val="left" w:pos="5940"/>
          <w:tab w:val="left" w:pos="6300"/>
        </w:tabs>
        <w:spacing w:line="360" w:lineRule="auto"/>
        <w:ind w:firstLineChars="200" w:firstLine="480"/>
        <w:jc w:val="right"/>
        <w:rPr>
          <w:rFonts w:asciiTheme="minorEastAsia" w:eastAsiaTheme="minorEastAsia" w:hAnsiTheme="minorEastAsia" w:cs="宋体"/>
          <w:color w:val="000000"/>
          <w:sz w:val="24"/>
        </w:rPr>
      </w:pPr>
      <w:r>
        <w:rPr>
          <w:rFonts w:asciiTheme="minorEastAsia" w:eastAsiaTheme="minorEastAsia" w:hAnsiTheme="minorEastAsia"/>
          <w:color w:val="000000"/>
          <w:sz w:val="24"/>
        </w:rPr>
        <w:t xml:space="preserve">                                            </w:t>
      </w:r>
      <w:r>
        <w:rPr>
          <w:rFonts w:asciiTheme="minorEastAsia" w:eastAsiaTheme="minorEastAsia" w:hAnsiTheme="minorEastAsia" w:cs="宋体" w:hint="eastAsia"/>
          <w:color w:val="000000"/>
          <w:sz w:val="24"/>
        </w:rPr>
        <w:t>二</w:t>
      </w:r>
      <w:r>
        <w:rPr>
          <w:rFonts w:asciiTheme="minorEastAsia" w:eastAsiaTheme="minorEastAsia" w:hAnsiTheme="minorEastAsia"/>
          <w:color w:val="000000"/>
          <w:sz w:val="24"/>
        </w:rPr>
        <w:t>○</w:t>
      </w:r>
      <w:r>
        <w:rPr>
          <w:rFonts w:asciiTheme="minorEastAsia" w:eastAsiaTheme="minorEastAsia" w:hAnsiTheme="minorEastAsia" w:cs="宋体" w:hint="eastAsia"/>
          <w:color w:val="000000"/>
          <w:sz w:val="24"/>
        </w:rPr>
        <w:t>一二年六月十日</w:t>
      </w:r>
    </w:p>
    <w:p w:rsidR="00B578F0" w:rsidRDefault="00B578F0">
      <w:bookmarkStart w:id="1" w:name="_GoBack"/>
      <w:bookmarkEnd w:id="1"/>
    </w:p>
    <w:sectPr w:rsidR="00B578F0">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7632"/>
    <w:rsid w:val="00044E24"/>
    <w:rsid w:val="000B4481"/>
    <w:rsid w:val="000D1AA6"/>
    <w:rsid w:val="001C5814"/>
    <w:rsid w:val="00261AF5"/>
    <w:rsid w:val="002B5B8B"/>
    <w:rsid w:val="002E5E7E"/>
    <w:rsid w:val="004802C0"/>
    <w:rsid w:val="004C3BD4"/>
    <w:rsid w:val="005B7CC8"/>
    <w:rsid w:val="0062276F"/>
    <w:rsid w:val="00673824"/>
    <w:rsid w:val="006F11BF"/>
    <w:rsid w:val="0078099F"/>
    <w:rsid w:val="007E7632"/>
    <w:rsid w:val="00892D29"/>
    <w:rsid w:val="008D1A3E"/>
    <w:rsid w:val="00900404"/>
    <w:rsid w:val="00AD470B"/>
    <w:rsid w:val="00B578F0"/>
    <w:rsid w:val="00D46DD3"/>
    <w:rsid w:val="00EB16E3"/>
    <w:rsid w:val="00ED4D3C"/>
    <w:rsid w:val="00FA53B9"/>
    <w:rsid w:val="00FB1B4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A130E39-C008-4D75-BAE0-4A741B5971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7632"/>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295</Words>
  <Characters>1688</Characters>
  <Application>Microsoft Office Word</Application>
  <DocSecurity>0</DocSecurity>
  <Lines>14</Lines>
  <Paragraphs>3</Paragraphs>
  <ScaleCrop>false</ScaleCrop>
  <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吴鹏凯</dc:creator>
  <cp:keywords/>
  <dc:description/>
  <cp:lastModifiedBy>吴鹏凯</cp:lastModifiedBy>
  <cp:revision>1</cp:revision>
  <dcterms:created xsi:type="dcterms:W3CDTF">2017-07-11T01:11:00Z</dcterms:created>
  <dcterms:modified xsi:type="dcterms:W3CDTF">2017-07-11T01:12:00Z</dcterms:modified>
</cp:coreProperties>
</file>