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4485" w:rsidRDefault="000E4485" w:rsidP="000E4485">
      <w:pPr>
        <w:pageBreakBefore/>
        <w:tabs>
          <w:tab w:val="left" w:pos="1482"/>
        </w:tabs>
        <w:spacing w:beforeLines="100" w:before="312" w:afterLines="100" w:after="312" w:line="360" w:lineRule="auto"/>
        <w:jc w:val="center"/>
        <w:outlineLvl w:val="0"/>
        <w:rPr>
          <w:rFonts w:ascii="Arial" w:eastAsia="黑体" w:hAnsi="Arial"/>
          <w:b/>
          <w:bCs/>
          <w:sz w:val="32"/>
          <w:szCs w:val="32"/>
        </w:rPr>
      </w:pPr>
      <w:bookmarkStart w:id="0" w:name="_Toc457580712"/>
      <w:bookmarkStart w:id="1" w:name="_GoBack"/>
      <w:r>
        <w:rPr>
          <w:rFonts w:ascii="Arial" w:eastAsia="黑体" w:hAnsi="Arial"/>
          <w:b/>
          <w:bCs/>
          <w:sz w:val="32"/>
          <w:szCs w:val="32"/>
        </w:rPr>
        <w:t>同济大学研究生境外高校学习及课程学分认定与成绩转换的管理办法</w:t>
      </w:r>
      <w:bookmarkEnd w:id="0"/>
    </w:p>
    <w:p w:rsidR="000E4485" w:rsidRDefault="000E4485" w:rsidP="000E4485">
      <w:pPr>
        <w:spacing w:line="360" w:lineRule="auto"/>
        <w:ind w:firstLineChars="200" w:firstLine="420"/>
        <w:jc w:val="center"/>
        <w:rPr>
          <w:rFonts w:ascii="宋体" w:hAnsi="宋体"/>
          <w:bCs/>
          <w:szCs w:val="21"/>
        </w:rPr>
      </w:pPr>
      <w:bookmarkStart w:id="2" w:name="_Toc345619253"/>
      <w:bookmarkEnd w:id="1"/>
      <w:r>
        <w:rPr>
          <w:rFonts w:ascii="宋体" w:hAnsi="宋体"/>
          <w:bCs/>
          <w:szCs w:val="21"/>
        </w:rPr>
        <w:t>校</w:t>
      </w:r>
      <w:proofErr w:type="gramStart"/>
      <w:r>
        <w:rPr>
          <w:rFonts w:ascii="宋体" w:hAnsi="宋体"/>
          <w:bCs/>
          <w:szCs w:val="21"/>
        </w:rPr>
        <w:t>研</w:t>
      </w:r>
      <w:proofErr w:type="gramEnd"/>
      <w:r>
        <w:rPr>
          <w:rFonts w:ascii="宋体" w:hAnsi="宋体"/>
          <w:bCs/>
          <w:szCs w:val="21"/>
        </w:rPr>
        <w:t>[2012]22号</w:t>
      </w:r>
      <w:bookmarkEnd w:id="2"/>
    </w:p>
    <w:p w:rsidR="000E4485" w:rsidRDefault="000E4485" w:rsidP="000E4485">
      <w:pPr>
        <w:spacing w:afterLines="100" w:after="312" w:line="360" w:lineRule="auto"/>
        <w:ind w:firstLineChars="200" w:firstLine="420"/>
        <w:jc w:val="center"/>
        <w:rPr>
          <w:rFonts w:ascii="宋体" w:hAnsi="宋体"/>
          <w:bCs/>
          <w:szCs w:val="21"/>
        </w:rPr>
      </w:pPr>
      <w:r>
        <w:rPr>
          <w:rFonts w:ascii="宋体" w:hAnsi="宋体" w:hint="eastAsia"/>
          <w:bCs/>
          <w:szCs w:val="21"/>
        </w:rPr>
        <w:t>（2015年4月修订）</w:t>
      </w:r>
    </w:p>
    <w:p w:rsidR="000E4485" w:rsidRDefault="000E4485" w:rsidP="000E4485">
      <w:pPr>
        <w:spacing w:line="360" w:lineRule="auto"/>
        <w:ind w:firstLineChars="200" w:firstLine="480"/>
        <w:rPr>
          <w:rFonts w:asciiTheme="minorEastAsia" w:eastAsiaTheme="minorEastAsia" w:hAnsiTheme="minorEastAsia"/>
          <w:color w:val="000000"/>
          <w:kern w:val="0"/>
          <w:sz w:val="24"/>
        </w:rPr>
      </w:pPr>
      <w:r>
        <w:rPr>
          <w:rFonts w:asciiTheme="minorEastAsia" w:eastAsiaTheme="minorEastAsia" w:hAnsiTheme="minorEastAsia"/>
          <w:color w:val="000000"/>
          <w:kern w:val="0"/>
          <w:sz w:val="24"/>
        </w:rPr>
        <w:t>为加强对赴境外高校学习的研究生的管理，规范研究生在境外高校学习课程获得学分的认定及成绩的转换，特制定本办法。</w:t>
      </w:r>
    </w:p>
    <w:p w:rsidR="000E4485" w:rsidRDefault="000E4485" w:rsidP="000E4485">
      <w:pPr>
        <w:spacing w:line="360" w:lineRule="auto"/>
        <w:ind w:firstLineChars="200" w:firstLine="480"/>
        <w:rPr>
          <w:rFonts w:asciiTheme="minorEastAsia" w:eastAsiaTheme="minorEastAsia" w:hAnsiTheme="minorEastAsia"/>
          <w:color w:val="000000"/>
          <w:kern w:val="0"/>
          <w:sz w:val="24"/>
        </w:rPr>
      </w:pPr>
      <w:r>
        <w:rPr>
          <w:rFonts w:asciiTheme="minorEastAsia" w:eastAsiaTheme="minorEastAsia" w:hAnsiTheme="minorEastAsia"/>
          <w:color w:val="000000"/>
          <w:kern w:val="0"/>
          <w:sz w:val="24"/>
        </w:rPr>
        <w:t>本办法适用于研究生在国家公派项目、校际交流项目、院际交流项目派出交流期间于境外高校所修课程。本办法也适用于按照校际交流项目派遣至我校的双学位留学研究生。</w:t>
      </w:r>
    </w:p>
    <w:p w:rsidR="000E4485" w:rsidRDefault="000E4485" w:rsidP="000E4485">
      <w:pPr>
        <w:spacing w:line="360" w:lineRule="auto"/>
        <w:ind w:firstLineChars="200" w:firstLine="482"/>
        <w:rPr>
          <w:rFonts w:ascii="黑体" w:eastAsia="黑体" w:hAnsi="黑体"/>
          <w:b/>
          <w:bCs/>
          <w:color w:val="000000"/>
          <w:sz w:val="24"/>
        </w:rPr>
      </w:pPr>
      <w:bookmarkStart w:id="3" w:name="_Toc345619254"/>
      <w:r>
        <w:rPr>
          <w:rFonts w:ascii="黑体" w:eastAsia="黑体" w:hAnsi="黑体" w:hint="eastAsia"/>
          <w:b/>
          <w:bCs/>
          <w:color w:val="000000"/>
          <w:sz w:val="24"/>
        </w:rPr>
        <w:t>一、</w:t>
      </w:r>
      <w:r>
        <w:rPr>
          <w:rFonts w:ascii="黑体" w:eastAsia="黑体" w:hAnsi="黑体"/>
          <w:b/>
          <w:bCs/>
          <w:color w:val="000000"/>
          <w:sz w:val="24"/>
        </w:rPr>
        <w:t>学分认定及成绩转换的要求</w:t>
      </w:r>
      <w:bookmarkEnd w:id="3"/>
    </w:p>
    <w:p w:rsidR="000E4485" w:rsidRDefault="000E4485" w:rsidP="000E4485">
      <w:pPr>
        <w:spacing w:line="360" w:lineRule="auto"/>
        <w:ind w:firstLineChars="200" w:firstLine="480"/>
        <w:rPr>
          <w:rFonts w:asciiTheme="minorEastAsia" w:eastAsiaTheme="minorEastAsia" w:hAnsiTheme="minorEastAsia"/>
          <w:color w:val="000000"/>
          <w:kern w:val="0"/>
          <w:sz w:val="24"/>
        </w:rPr>
      </w:pPr>
      <w:r>
        <w:rPr>
          <w:rFonts w:asciiTheme="minorEastAsia" w:eastAsiaTheme="minorEastAsia" w:hAnsiTheme="minorEastAsia"/>
          <w:color w:val="000000"/>
          <w:kern w:val="0"/>
          <w:sz w:val="24"/>
        </w:rPr>
        <w:t>原则上，研究生在境外所学课程应与其专业培养方案规定的课程相近或相同，由学生所在院系学科专业委员会按同类课程认定。涉及跨学院开设的课程时，由学生所在院系、开课院系、研究生院培养处按同类课程共同认定。具体规定如下:</w:t>
      </w:r>
    </w:p>
    <w:p w:rsidR="000E4485" w:rsidRDefault="000E4485" w:rsidP="000E4485">
      <w:pPr>
        <w:spacing w:line="360" w:lineRule="auto"/>
        <w:ind w:firstLineChars="200" w:firstLine="480"/>
        <w:rPr>
          <w:rFonts w:asciiTheme="minorEastAsia" w:eastAsiaTheme="minorEastAsia" w:hAnsiTheme="minorEastAsia"/>
          <w:color w:val="000000"/>
          <w:kern w:val="0"/>
          <w:sz w:val="24"/>
        </w:rPr>
      </w:pPr>
      <w:r>
        <w:rPr>
          <w:rFonts w:asciiTheme="minorEastAsia" w:eastAsiaTheme="minorEastAsia" w:hAnsiTheme="minorEastAsia"/>
          <w:color w:val="000000"/>
          <w:kern w:val="0"/>
          <w:sz w:val="24"/>
        </w:rPr>
        <w:t xml:space="preserve">    1、在境外高校学习的研究生和派遣至我校的双学位留学研究生，申请认定的学分一般不应超过其学习专业的培养方案要求学分的50％。研究生应修的公共学位课（我校接收的双学位港澳台生的公共学位课学分可由专业学位课学分替代）</w:t>
      </w:r>
      <w:r>
        <w:rPr>
          <w:rFonts w:asciiTheme="minorEastAsia" w:eastAsiaTheme="minorEastAsia" w:hAnsiTheme="minorEastAsia" w:hint="eastAsia"/>
          <w:color w:val="000000"/>
          <w:kern w:val="0"/>
          <w:sz w:val="24"/>
        </w:rPr>
        <w:t>及</w:t>
      </w:r>
      <w:r>
        <w:rPr>
          <w:rFonts w:asciiTheme="minorEastAsia" w:eastAsiaTheme="minorEastAsia" w:hAnsiTheme="minorEastAsia"/>
          <w:color w:val="000000"/>
          <w:kern w:val="0"/>
          <w:sz w:val="24"/>
        </w:rPr>
        <w:t>论文选题必须在我校完成；</w:t>
      </w:r>
    </w:p>
    <w:p w:rsidR="000E4485" w:rsidRDefault="000E4485" w:rsidP="000E4485">
      <w:pPr>
        <w:spacing w:line="360" w:lineRule="auto"/>
        <w:ind w:firstLineChars="200" w:firstLine="480"/>
        <w:rPr>
          <w:rFonts w:asciiTheme="minorEastAsia" w:eastAsiaTheme="minorEastAsia" w:hAnsiTheme="minorEastAsia"/>
          <w:color w:val="000000"/>
          <w:kern w:val="0"/>
          <w:sz w:val="24"/>
        </w:rPr>
      </w:pPr>
      <w:r>
        <w:rPr>
          <w:rFonts w:asciiTheme="minorEastAsia" w:eastAsiaTheme="minorEastAsia" w:hAnsiTheme="minorEastAsia"/>
          <w:color w:val="000000"/>
          <w:kern w:val="0"/>
          <w:sz w:val="24"/>
        </w:rPr>
        <w:t>2、大学所属专业的培养方案的情况，事先与导师商议拟定在境外学习期间的学习计划，并填写《同济大学申请选修校外研究生课程审批表》，经导师同意和学生所在院系批准并备案。未经导师同意和所在院系批准，学生在境外学习期间不得更改学习计划，未经批准学习的课程不列入认定范围。</w:t>
      </w:r>
    </w:p>
    <w:p w:rsidR="000E4485" w:rsidRDefault="000E4485" w:rsidP="000E4485">
      <w:pPr>
        <w:spacing w:line="360" w:lineRule="auto"/>
        <w:ind w:firstLineChars="200" w:firstLine="482"/>
        <w:rPr>
          <w:rFonts w:ascii="黑体" w:eastAsia="黑体" w:hAnsi="黑体"/>
          <w:b/>
          <w:bCs/>
          <w:color w:val="000000"/>
          <w:sz w:val="24"/>
        </w:rPr>
      </w:pPr>
      <w:bookmarkStart w:id="4" w:name="_Toc345619255"/>
      <w:r>
        <w:rPr>
          <w:rFonts w:ascii="黑体" w:eastAsia="黑体" w:hAnsi="黑体" w:hint="eastAsia"/>
          <w:b/>
          <w:bCs/>
          <w:color w:val="000000"/>
          <w:sz w:val="24"/>
        </w:rPr>
        <w:t>二、</w:t>
      </w:r>
      <w:r>
        <w:rPr>
          <w:rFonts w:ascii="黑体" w:eastAsia="黑体" w:hAnsi="黑体"/>
          <w:b/>
          <w:bCs/>
          <w:color w:val="000000"/>
          <w:sz w:val="24"/>
        </w:rPr>
        <w:t>学分认定及成绩转换的程序</w:t>
      </w:r>
      <w:bookmarkEnd w:id="4"/>
    </w:p>
    <w:p w:rsidR="000E4485" w:rsidRDefault="000E4485" w:rsidP="000E4485">
      <w:pPr>
        <w:numPr>
          <w:ilvl w:val="0"/>
          <w:numId w:val="1"/>
        </w:numPr>
        <w:spacing w:line="360" w:lineRule="auto"/>
        <w:ind w:firstLineChars="200" w:firstLine="480"/>
        <w:rPr>
          <w:rFonts w:asciiTheme="minorEastAsia" w:eastAsiaTheme="minorEastAsia" w:hAnsiTheme="minorEastAsia"/>
          <w:color w:val="000000"/>
          <w:kern w:val="0"/>
          <w:sz w:val="24"/>
        </w:rPr>
      </w:pPr>
      <w:r>
        <w:rPr>
          <w:rFonts w:asciiTheme="minorEastAsia" w:eastAsiaTheme="minorEastAsia" w:hAnsiTheme="minorEastAsia"/>
          <w:color w:val="000000"/>
          <w:kern w:val="0"/>
          <w:sz w:val="24"/>
        </w:rPr>
        <w:t>研究生应于回校后当学期办理学分认定及成绩转换手续；</w:t>
      </w:r>
    </w:p>
    <w:p w:rsidR="000E4485" w:rsidRDefault="000E4485" w:rsidP="000E4485">
      <w:pPr>
        <w:numPr>
          <w:ilvl w:val="0"/>
          <w:numId w:val="1"/>
        </w:numPr>
        <w:spacing w:line="360" w:lineRule="auto"/>
        <w:ind w:firstLineChars="200" w:firstLine="480"/>
        <w:rPr>
          <w:rFonts w:asciiTheme="minorEastAsia" w:eastAsiaTheme="minorEastAsia" w:hAnsiTheme="minorEastAsia"/>
          <w:color w:val="000000"/>
          <w:kern w:val="0"/>
          <w:sz w:val="24"/>
        </w:rPr>
      </w:pPr>
      <w:r>
        <w:rPr>
          <w:rFonts w:asciiTheme="minorEastAsia" w:eastAsiaTheme="minorEastAsia" w:hAnsiTheme="minorEastAsia"/>
          <w:color w:val="000000"/>
          <w:kern w:val="0"/>
          <w:sz w:val="24"/>
        </w:rPr>
        <w:t>申请学分认定的研究生，需填写《同济大学选修校外研究生课程学分认定及成绩转换申请表》（一式三份），同时提交《同济大学申请选修校外研究生课程审批表》，并附上对方学校出具的所学课程成绩单原件（阅后退回）和复印件，以及在境外修读，拟转换课程的课程大纲或简介，由导师及所在院系的学科</w:t>
      </w:r>
      <w:r>
        <w:rPr>
          <w:rFonts w:asciiTheme="minorEastAsia" w:eastAsiaTheme="minorEastAsia" w:hAnsiTheme="minorEastAsia"/>
          <w:color w:val="000000"/>
          <w:kern w:val="0"/>
          <w:sz w:val="24"/>
        </w:rPr>
        <w:lastRenderedPageBreak/>
        <w:t>专业委员会同意后，给予其学分认定及成绩转换，</w:t>
      </w:r>
      <w:r>
        <w:rPr>
          <w:rFonts w:asciiTheme="minorEastAsia" w:eastAsiaTheme="minorEastAsia" w:hAnsiTheme="minorEastAsia" w:hint="eastAsia"/>
          <w:color w:val="000000"/>
          <w:kern w:val="0"/>
          <w:sz w:val="24"/>
        </w:rPr>
        <w:t>同时学生在一体化教务系统中完成申请，由</w:t>
      </w:r>
      <w:r>
        <w:rPr>
          <w:rFonts w:asciiTheme="minorEastAsia" w:eastAsiaTheme="minorEastAsia" w:hAnsiTheme="minorEastAsia"/>
          <w:color w:val="000000"/>
          <w:kern w:val="0"/>
          <w:sz w:val="24"/>
        </w:rPr>
        <w:t>院系</w:t>
      </w:r>
      <w:r>
        <w:rPr>
          <w:rFonts w:asciiTheme="minorEastAsia" w:eastAsiaTheme="minorEastAsia" w:hAnsiTheme="minorEastAsia" w:hint="eastAsia"/>
          <w:color w:val="000000"/>
          <w:kern w:val="0"/>
          <w:sz w:val="24"/>
        </w:rPr>
        <w:t>相关</w:t>
      </w:r>
      <w:r>
        <w:rPr>
          <w:rFonts w:asciiTheme="minorEastAsia" w:eastAsiaTheme="minorEastAsia" w:hAnsiTheme="minorEastAsia"/>
          <w:color w:val="000000"/>
          <w:kern w:val="0"/>
          <w:sz w:val="24"/>
        </w:rPr>
        <w:t>人员</w:t>
      </w:r>
      <w:r>
        <w:rPr>
          <w:rFonts w:asciiTheme="minorEastAsia" w:eastAsiaTheme="minorEastAsia" w:hAnsiTheme="minorEastAsia" w:hint="eastAsia"/>
          <w:color w:val="000000"/>
          <w:kern w:val="0"/>
          <w:sz w:val="24"/>
        </w:rPr>
        <w:t>完成审核。</w:t>
      </w:r>
      <w:r>
        <w:rPr>
          <w:rFonts w:asciiTheme="minorEastAsia" w:eastAsiaTheme="minorEastAsia" w:hAnsiTheme="minorEastAsia"/>
          <w:color w:val="000000"/>
          <w:kern w:val="0"/>
          <w:sz w:val="24"/>
        </w:rPr>
        <w:t>若涉及跨学院课程成绩，还须经开课院系和研究生院共同审核认定；</w:t>
      </w:r>
    </w:p>
    <w:p w:rsidR="000E4485" w:rsidRDefault="000E4485" w:rsidP="000E4485">
      <w:pPr>
        <w:numPr>
          <w:ilvl w:val="0"/>
          <w:numId w:val="1"/>
        </w:numPr>
        <w:spacing w:line="360" w:lineRule="auto"/>
        <w:ind w:firstLineChars="200" w:firstLine="480"/>
        <w:rPr>
          <w:rFonts w:asciiTheme="minorEastAsia" w:eastAsiaTheme="minorEastAsia" w:hAnsiTheme="minorEastAsia"/>
          <w:color w:val="000000"/>
          <w:kern w:val="0"/>
          <w:sz w:val="24"/>
        </w:rPr>
      </w:pPr>
      <w:r>
        <w:rPr>
          <w:rFonts w:asciiTheme="minorEastAsia" w:eastAsiaTheme="minorEastAsia" w:hAnsiTheme="minorEastAsia"/>
          <w:color w:val="000000"/>
          <w:kern w:val="0"/>
          <w:sz w:val="24"/>
        </w:rPr>
        <w:t>研究生在境外高校获得的成绩，若为百分制，则按实际分数登录；若为非百分制的成绩，课程成绩由所在院系及开课院系根据课程内容及境外高校成绩标准出具成绩意见，并给予录入成绩；</w:t>
      </w:r>
    </w:p>
    <w:p w:rsidR="000E4485" w:rsidRDefault="000E4485" w:rsidP="000E4485">
      <w:pPr>
        <w:numPr>
          <w:ilvl w:val="0"/>
          <w:numId w:val="1"/>
        </w:numPr>
        <w:spacing w:line="360" w:lineRule="auto"/>
        <w:ind w:firstLineChars="200" w:firstLine="480"/>
        <w:rPr>
          <w:rFonts w:asciiTheme="minorEastAsia" w:eastAsiaTheme="minorEastAsia" w:hAnsiTheme="minorEastAsia"/>
          <w:color w:val="000000"/>
          <w:kern w:val="0"/>
          <w:sz w:val="24"/>
        </w:rPr>
      </w:pPr>
      <w:r>
        <w:rPr>
          <w:rFonts w:asciiTheme="minorEastAsia" w:eastAsiaTheme="minorEastAsia" w:hAnsiTheme="minorEastAsia"/>
          <w:color w:val="000000"/>
          <w:kern w:val="0"/>
          <w:sz w:val="24"/>
        </w:rPr>
        <w:t>研究生在境外高校学习的课程经学分认定后，对于回校当学期开设的课程，由所在院系或培养处于学期考试结束后按相应的课程代码和成绩录入管理系统；对于回校当学期未开设的课程，按出国期间学校开设的课程给予转换。所有学习成绩均应在学生的成绩管理系统中登记，包括不及格的课程成绩；</w:t>
      </w:r>
    </w:p>
    <w:p w:rsidR="000E4485" w:rsidRDefault="000E4485" w:rsidP="000E4485">
      <w:pPr>
        <w:spacing w:line="360" w:lineRule="auto"/>
        <w:ind w:firstLineChars="200" w:firstLine="480"/>
        <w:rPr>
          <w:rFonts w:asciiTheme="minorEastAsia" w:eastAsiaTheme="minorEastAsia" w:hAnsiTheme="minorEastAsia"/>
          <w:color w:val="000000"/>
          <w:kern w:val="0"/>
          <w:sz w:val="24"/>
        </w:rPr>
      </w:pPr>
      <w:r>
        <w:rPr>
          <w:rFonts w:asciiTheme="minorEastAsia" w:eastAsiaTheme="minorEastAsia" w:hAnsiTheme="minorEastAsia"/>
          <w:color w:val="000000"/>
          <w:kern w:val="0"/>
          <w:sz w:val="24"/>
        </w:rPr>
        <w:t>5、派遣至我校的双学位留学生、双学位港澳台生应根据双方高校的合作协议及本人在同济大学所属专业培养方案的情况和在合作高校就读期间所修的课程情况，给予学分认定及成绩转换。</w:t>
      </w:r>
    </w:p>
    <w:p w:rsidR="000E4485" w:rsidRDefault="000E4485" w:rsidP="000E4485">
      <w:pPr>
        <w:spacing w:line="360" w:lineRule="auto"/>
        <w:ind w:firstLineChars="200" w:firstLine="480"/>
        <w:rPr>
          <w:rFonts w:asciiTheme="minorEastAsia" w:eastAsiaTheme="minorEastAsia" w:hAnsiTheme="minorEastAsia"/>
          <w:color w:val="000000"/>
          <w:kern w:val="0"/>
          <w:sz w:val="24"/>
        </w:rPr>
      </w:pPr>
    </w:p>
    <w:p w:rsidR="000E4485" w:rsidRDefault="000E4485" w:rsidP="000E4485">
      <w:pPr>
        <w:spacing w:line="360" w:lineRule="auto"/>
        <w:ind w:firstLineChars="200" w:firstLine="482"/>
        <w:rPr>
          <w:rFonts w:ascii="黑体" w:eastAsia="黑体" w:hAnsi="黑体"/>
          <w:b/>
          <w:bCs/>
          <w:color w:val="000000"/>
          <w:sz w:val="24"/>
        </w:rPr>
      </w:pPr>
      <w:r>
        <w:rPr>
          <w:rFonts w:ascii="黑体" w:eastAsia="黑体" w:hAnsi="黑体"/>
          <w:b/>
          <w:bCs/>
          <w:color w:val="000000"/>
          <w:sz w:val="24"/>
        </w:rPr>
        <w:t>附件：</w:t>
      </w:r>
    </w:p>
    <w:p w:rsidR="000E4485" w:rsidRDefault="000E4485" w:rsidP="000E4485">
      <w:pPr>
        <w:spacing w:line="360" w:lineRule="auto"/>
        <w:ind w:firstLineChars="200" w:firstLine="480"/>
        <w:rPr>
          <w:rFonts w:asciiTheme="minorEastAsia" w:eastAsiaTheme="minorEastAsia" w:hAnsiTheme="minorEastAsia"/>
          <w:color w:val="000000"/>
          <w:kern w:val="0"/>
          <w:sz w:val="24"/>
        </w:rPr>
      </w:pPr>
      <w:r>
        <w:rPr>
          <w:rFonts w:asciiTheme="minorEastAsia" w:eastAsiaTheme="minorEastAsia" w:hAnsiTheme="minorEastAsia"/>
          <w:color w:val="000000"/>
          <w:kern w:val="0"/>
          <w:sz w:val="24"/>
        </w:rPr>
        <w:t>1、《同济大学申请选修校外课程审批表》</w:t>
      </w:r>
    </w:p>
    <w:p w:rsidR="000E4485" w:rsidRDefault="000E4485" w:rsidP="000E4485">
      <w:pPr>
        <w:spacing w:line="360" w:lineRule="auto"/>
        <w:ind w:firstLineChars="200" w:firstLine="480"/>
        <w:rPr>
          <w:rFonts w:asciiTheme="minorEastAsia" w:eastAsiaTheme="minorEastAsia" w:hAnsiTheme="minorEastAsia"/>
          <w:color w:val="000000"/>
          <w:kern w:val="0"/>
          <w:sz w:val="24"/>
        </w:rPr>
      </w:pPr>
      <w:r>
        <w:rPr>
          <w:rFonts w:asciiTheme="minorEastAsia" w:eastAsiaTheme="minorEastAsia" w:hAnsiTheme="minorEastAsia"/>
          <w:color w:val="000000"/>
          <w:kern w:val="0"/>
          <w:sz w:val="24"/>
        </w:rPr>
        <w:t>2、《同济大学选修校外研究生课程学分认定及成绩转换申请表》</w:t>
      </w:r>
    </w:p>
    <w:p w:rsidR="000E4485" w:rsidRDefault="000E4485" w:rsidP="000E4485">
      <w:pPr>
        <w:spacing w:line="360" w:lineRule="auto"/>
        <w:ind w:firstLineChars="200" w:firstLine="480"/>
        <w:rPr>
          <w:rFonts w:asciiTheme="minorEastAsia" w:eastAsiaTheme="minorEastAsia" w:hAnsiTheme="minorEastAsia"/>
          <w:color w:val="000000"/>
          <w:kern w:val="0"/>
          <w:sz w:val="24"/>
        </w:rPr>
      </w:pPr>
    </w:p>
    <w:p w:rsidR="000E4485" w:rsidRDefault="000E4485" w:rsidP="000E4485">
      <w:pPr>
        <w:spacing w:line="360" w:lineRule="auto"/>
        <w:ind w:firstLineChars="200" w:firstLine="480"/>
        <w:jc w:val="right"/>
        <w:rPr>
          <w:rFonts w:asciiTheme="minorEastAsia" w:eastAsiaTheme="minorEastAsia" w:hAnsiTheme="minorEastAsia"/>
          <w:color w:val="000000"/>
          <w:kern w:val="0"/>
          <w:sz w:val="24"/>
        </w:rPr>
      </w:pPr>
      <w:r>
        <w:rPr>
          <w:rFonts w:asciiTheme="minorEastAsia" w:eastAsiaTheme="minorEastAsia" w:hAnsiTheme="minorEastAsia"/>
          <w:color w:val="000000"/>
          <w:kern w:val="0"/>
          <w:sz w:val="24"/>
        </w:rPr>
        <w:t xml:space="preserve">                                     同济大学研究生院</w:t>
      </w:r>
    </w:p>
    <w:p w:rsidR="000E4485" w:rsidRDefault="000E4485" w:rsidP="000E4485">
      <w:pPr>
        <w:spacing w:line="360" w:lineRule="auto"/>
        <w:ind w:firstLineChars="200" w:firstLine="480"/>
        <w:jc w:val="right"/>
        <w:rPr>
          <w:rFonts w:asciiTheme="minorEastAsia" w:eastAsiaTheme="minorEastAsia" w:hAnsiTheme="minorEastAsia"/>
          <w:color w:val="000000"/>
          <w:kern w:val="0"/>
          <w:sz w:val="24"/>
        </w:rPr>
      </w:pPr>
      <w:r>
        <w:rPr>
          <w:rFonts w:asciiTheme="minorEastAsia" w:eastAsiaTheme="minorEastAsia" w:hAnsiTheme="minorEastAsia"/>
          <w:color w:val="000000"/>
          <w:kern w:val="0"/>
          <w:sz w:val="24"/>
        </w:rPr>
        <w:t>201</w:t>
      </w:r>
      <w:r>
        <w:rPr>
          <w:rFonts w:asciiTheme="minorEastAsia" w:eastAsiaTheme="minorEastAsia" w:hAnsiTheme="minorEastAsia" w:hint="eastAsia"/>
          <w:color w:val="000000"/>
          <w:kern w:val="0"/>
          <w:sz w:val="24"/>
        </w:rPr>
        <w:t>5</w:t>
      </w:r>
      <w:r>
        <w:rPr>
          <w:rFonts w:asciiTheme="minorEastAsia" w:eastAsiaTheme="minorEastAsia" w:hAnsiTheme="minorEastAsia"/>
          <w:color w:val="000000"/>
          <w:kern w:val="0"/>
          <w:sz w:val="24"/>
        </w:rPr>
        <w:t>年</w:t>
      </w:r>
      <w:r>
        <w:rPr>
          <w:rFonts w:asciiTheme="minorEastAsia" w:eastAsiaTheme="minorEastAsia" w:hAnsiTheme="minorEastAsia" w:hint="eastAsia"/>
          <w:color w:val="000000"/>
          <w:kern w:val="0"/>
          <w:sz w:val="24"/>
        </w:rPr>
        <w:t>4</w:t>
      </w:r>
      <w:r>
        <w:rPr>
          <w:rFonts w:asciiTheme="minorEastAsia" w:eastAsiaTheme="minorEastAsia" w:hAnsiTheme="minorEastAsia"/>
          <w:color w:val="000000"/>
          <w:kern w:val="0"/>
          <w:sz w:val="24"/>
        </w:rPr>
        <w:t>月</w:t>
      </w:r>
    </w:p>
    <w:p w:rsidR="00B578F0" w:rsidRDefault="00B578F0"/>
    <w:sectPr w:rsidR="00B578F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485"/>
    <w:rsid w:val="00044E24"/>
    <w:rsid w:val="000B4481"/>
    <w:rsid w:val="000D1AA6"/>
    <w:rsid w:val="000E4485"/>
    <w:rsid w:val="001C5814"/>
    <w:rsid w:val="00261AF5"/>
    <w:rsid w:val="002B5B8B"/>
    <w:rsid w:val="002E5E7E"/>
    <w:rsid w:val="003C60A7"/>
    <w:rsid w:val="003E5AA6"/>
    <w:rsid w:val="004802C0"/>
    <w:rsid w:val="004C3BD4"/>
    <w:rsid w:val="005B7CC8"/>
    <w:rsid w:val="0062276F"/>
    <w:rsid w:val="00673824"/>
    <w:rsid w:val="006F11BF"/>
    <w:rsid w:val="0078099F"/>
    <w:rsid w:val="00831958"/>
    <w:rsid w:val="00892D29"/>
    <w:rsid w:val="008D1A3E"/>
    <w:rsid w:val="00900404"/>
    <w:rsid w:val="00AC7CC2"/>
    <w:rsid w:val="00AD470B"/>
    <w:rsid w:val="00AD5C6E"/>
    <w:rsid w:val="00B578F0"/>
    <w:rsid w:val="00D46DD3"/>
    <w:rsid w:val="00EB16E3"/>
    <w:rsid w:val="00ED4D3C"/>
    <w:rsid w:val="00FA53B9"/>
    <w:rsid w:val="00FB1B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F4D94E0-E4BB-4273-B0E0-D71793102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448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184</Words>
  <Characters>1050</Characters>
  <Application>Microsoft Office Word</Application>
  <DocSecurity>0</DocSecurity>
  <Lines>8</Lines>
  <Paragraphs>2</Paragraphs>
  <ScaleCrop>false</ScaleCrop>
  <Company/>
  <LinksUpToDate>false</LinksUpToDate>
  <CharactersWithSpaces>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吴鹏凯</dc:creator>
  <cp:keywords/>
  <dc:description/>
  <cp:lastModifiedBy>吴鹏凯</cp:lastModifiedBy>
  <cp:revision>1</cp:revision>
  <dcterms:created xsi:type="dcterms:W3CDTF">2017-07-11T07:00:00Z</dcterms:created>
  <dcterms:modified xsi:type="dcterms:W3CDTF">2017-07-11T07:00:00Z</dcterms:modified>
</cp:coreProperties>
</file>